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44"/>
          <w:szCs w:val="44"/>
        </w:rPr>
      </w:pPr>
      <w:bookmarkStart w:id="0" w:name="_Toc13071"/>
      <w:r>
        <w:rPr>
          <w:rFonts w:hint="eastAsia" w:ascii="黑体" w:hAnsi="黑体" w:eastAsia="黑体" w:cs="黑体"/>
          <w:b w:val="0"/>
          <w:bCs w:val="0"/>
          <w:sz w:val="44"/>
          <w:szCs w:val="44"/>
        </w:rPr>
        <w:t>耗水性能测试方法 染色设备</w:t>
      </w:r>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编制说明</w:t>
      </w:r>
    </w:p>
    <w:p>
      <w:pPr>
        <w:jc w:val="center"/>
        <w:rPr>
          <w:rFonts w:hint="eastAsia"/>
          <w:sz w:val="30"/>
          <w:szCs w:val="30"/>
          <w:lang w:val="en-US" w:eastAsia="zh-CN"/>
        </w:rPr>
      </w:pPr>
      <w:bookmarkStart w:id="1" w:name="_Toc26595"/>
      <w:r>
        <w:rPr>
          <w:rFonts w:hint="eastAsia"/>
          <w:sz w:val="30"/>
          <w:szCs w:val="30"/>
          <w:lang w:val="en-US" w:eastAsia="zh-CN"/>
        </w:rPr>
        <w:t>（征求意见稿）</w:t>
      </w:r>
      <w:bookmarkEnd w:id="1"/>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耗水性能测试方法 染色设备</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编制小组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2023年12月</w:t>
      </w:r>
    </w:p>
    <w:p>
      <w:pPr>
        <w:rPr>
          <w:rFonts w:hint="eastAsia" w:ascii="黑体" w:hAnsi="黑体" w:eastAsia="黑体" w:cs="黑体"/>
          <w:b w:val="0"/>
          <w:bCs w:val="0"/>
          <w:sz w:val="28"/>
          <w:szCs w:val="28"/>
          <w:lang w:val="en-US" w:eastAsia="zh-CN"/>
        </w:rPr>
      </w:pPr>
      <w:r>
        <w:rPr>
          <w:rFonts w:hint="default" w:ascii="黑体" w:hAnsi="黑体" w:eastAsia="黑体" w:cs="黑体"/>
          <w:b w:val="0"/>
          <w:bCs w:val="0"/>
          <w:sz w:val="28"/>
          <w:szCs w:val="28"/>
          <w:lang w:val="en-US" w:eastAsia="zh-CN"/>
        </w:rPr>
        <w:br w:type="page"/>
      </w:r>
    </w:p>
    <w:sdt>
      <w:sdtPr>
        <w:rPr>
          <w:rFonts w:ascii="宋体" w:hAnsi="宋体" w:eastAsia="宋体" w:cstheme="minorBidi"/>
          <w:kern w:val="2"/>
          <w:sz w:val="21"/>
          <w:szCs w:val="24"/>
          <w:lang w:val="en-US" w:eastAsia="zh-CN" w:bidi="ar-SA"/>
        </w:rPr>
        <w:id w:val="147476251"/>
        <w15:color w:val="DBDBDB"/>
        <w:docPartObj>
          <w:docPartGallery w:val="Table of Contents"/>
          <w:docPartUnique/>
        </w:docPartObj>
      </w:sdtPr>
      <w:sdtEndPr>
        <w:rPr>
          <w:rFonts w:hint="eastAsia" w:ascii="华文楷体" w:hAnsi="华文楷体" w:eastAsia="华文楷体" w:cs="华文楷体"/>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b/>
              <w:bCs/>
              <w:sz w:val="30"/>
              <w:szCs w:val="30"/>
            </w:rPr>
          </w:pPr>
          <w:bookmarkStart w:id="2" w:name="_Toc479193920"/>
          <w:bookmarkStart w:id="3" w:name="_Toc18058268"/>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8"/>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4"/>
              <w:szCs w:val="24"/>
            </w:rPr>
            <w:fldChar w:fldCharType="begin"/>
          </w:r>
          <w:r>
            <w:rPr>
              <w:rFonts w:hint="eastAsia" w:ascii="华文楷体" w:hAnsi="华文楷体" w:eastAsia="华文楷体" w:cs="华文楷体"/>
              <w:sz w:val="24"/>
              <w:szCs w:val="24"/>
            </w:rPr>
            <w:instrText xml:space="preserve">TOC \o "1-3" \h \u </w:instrText>
          </w:r>
          <w:r>
            <w:rPr>
              <w:rFonts w:hint="eastAsia" w:ascii="华文楷体" w:hAnsi="华文楷体" w:eastAsia="华文楷体" w:cs="华文楷体"/>
              <w:sz w:val="24"/>
              <w:szCs w:val="24"/>
            </w:rPr>
            <w:fldChar w:fldCharType="separate"/>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_Toc32047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28"/>
              <w:sz w:val="28"/>
              <w:szCs w:val="28"/>
            </w:rPr>
            <w:t>1  项目背景及工作过程</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_Toc32047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_Toc879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1.1项目背景</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_Toc879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_Toc22331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1.2任务来源</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_Toc22331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4</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_Toc1186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1.3指导思想及依据</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_Toc1186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5</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_Toc11452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w:t>
          </w:r>
          <w:r>
            <w:rPr>
              <w:rFonts w:hint="eastAsia" w:ascii="华文楷体" w:hAnsi="华文楷体" w:eastAsia="华文楷体" w:cs="华文楷体"/>
              <w:sz w:val="28"/>
              <w:szCs w:val="28"/>
              <w:lang w:eastAsia="zh-CN"/>
            </w:rPr>
            <w:t>3</w:t>
          </w:r>
          <w:r>
            <w:rPr>
              <w:rFonts w:hint="eastAsia" w:ascii="华文楷体" w:hAnsi="华文楷体" w:eastAsia="华文楷体" w:cs="华文楷体"/>
              <w:sz w:val="28"/>
              <w:szCs w:val="28"/>
            </w:rPr>
            <w:t>.1指导思想</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_Toc11452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5</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_Toc25455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1.3.2编制原则</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_Toc25455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5</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_Toc12927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w:t>
          </w:r>
          <w:r>
            <w:rPr>
              <w:rFonts w:hint="eastAsia" w:ascii="华文楷体" w:hAnsi="华文楷体" w:eastAsia="华文楷体" w:cs="华文楷体"/>
              <w:sz w:val="28"/>
              <w:szCs w:val="28"/>
              <w:lang w:eastAsia="zh-CN"/>
            </w:rPr>
            <w:t>3</w:t>
          </w:r>
          <w:r>
            <w:rPr>
              <w:rFonts w:hint="eastAsia" w:ascii="华文楷体" w:hAnsi="华文楷体" w:eastAsia="华文楷体" w:cs="华文楷体"/>
              <w:sz w:val="28"/>
              <w:szCs w:val="28"/>
            </w:rPr>
            <w:t>.3编制依据</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_Toc12927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5</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_Toc11076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w:t>
          </w:r>
          <w:r>
            <w:rPr>
              <w:rFonts w:hint="eastAsia" w:ascii="华文楷体" w:hAnsi="华文楷体" w:eastAsia="华文楷体" w:cs="华文楷体"/>
              <w:sz w:val="28"/>
              <w:szCs w:val="28"/>
              <w:lang w:eastAsia="zh-CN"/>
            </w:rPr>
            <w:t>3.4</w:t>
          </w:r>
          <w:r>
            <w:rPr>
              <w:rFonts w:hint="eastAsia" w:ascii="华文楷体" w:hAnsi="华文楷体" w:eastAsia="华文楷体" w:cs="华文楷体"/>
              <w:sz w:val="28"/>
              <w:szCs w:val="28"/>
            </w:rPr>
            <w:t>工作过程</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_Toc11076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6</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8"/>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_Toc4294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28"/>
              <w:sz w:val="28"/>
              <w:szCs w:val="28"/>
            </w:rPr>
            <w:t>2  影响染色</w:t>
          </w:r>
          <w:r>
            <w:rPr>
              <w:rFonts w:hint="eastAsia" w:ascii="华文楷体" w:hAnsi="华文楷体" w:eastAsia="华文楷体" w:cs="华文楷体"/>
              <w:kern w:val="28"/>
              <w:sz w:val="28"/>
              <w:szCs w:val="28"/>
              <w:lang w:val="en-US" w:eastAsia="zh-CN"/>
            </w:rPr>
            <w:t>设备</w:t>
          </w:r>
          <w:r>
            <w:rPr>
              <w:rFonts w:hint="eastAsia" w:ascii="华文楷体" w:hAnsi="华文楷体" w:eastAsia="华文楷体" w:cs="华文楷体"/>
              <w:kern w:val="28"/>
              <w:sz w:val="28"/>
              <w:szCs w:val="28"/>
            </w:rPr>
            <w:t>水耗的因素</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_Toc4294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6</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_Toc11195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2.1与设计和制造相关的因素</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_Toc11195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6</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_Toc1950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2.2与生产过程相关的因素</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_Toc1950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7</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8"/>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_Toc33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28"/>
              <w:sz w:val="28"/>
              <w:szCs w:val="28"/>
            </w:rPr>
            <w:t>3  标准的</w:t>
          </w:r>
          <w:r>
            <w:rPr>
              <w:rFonts w:hint="eastAsia" w:ascii="华文楷体" w:hAnsi="华文楷体" w:eastAsia="华文楷体" w:cs="华文楷体"/>
              <w:kern w:val="28"/>
              <w:sz w:val="28"/>
              <w:szCs w:val="28"/>
              <w:lang w:eastAsia="zh-CN"/>
            </w:rPr>
            <w:t>内容</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_Toc33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_Toc31431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eastAsia="zh-CN"/>
            </w:rPr>
            <w:t>3.1</w:t>
          </w:r>
          <w:r>
            <w:rPr>
              <w:rFonts w:hint="eastAsia" w:ascii="华文楷体" w:hAnsi="华文楷体" w:eastAsia="华文楷体" w:cs="华文楷体"/>
              <w:i w:val="0"/>
              <w:sz w:val="28"/>
              <w:szCs w:val="28"/>
              <w:lang w:val="en-US" w:eastAsia="zh-CN"/>
            </w:rPr>
            <w:t>需要说明的问题</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_Toc31431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_Toc1074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lang w:val="en-US" w:eastAsia="zh-CN"/>
            </w:rPr>
            <w:t>3.1.1用水量</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_Toc1074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_Toc18952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lang w:val="en-US" w:eastAsia="zh-CN"/>
            </w:rPr>
            <w:t>3.1.2耗水量</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_Toc18952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6"/>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_Toc10163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lang w:val="en-US" w:eastAsia="zh-CN"/>
            </w:rPr>
            <w:t>3.1.3染色</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_Toc10163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_Toc16605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3.2</w:t>
          </w:r>
          <w:r>
            <w:rPr>
              <w:rFonts w:hint="eastAsia" w:ascii="华文楷体" w:hAnsi="华文楷体" w:eastAsia="华文楷体" w:cs="华文楷体"/>
              <w:i w:val="0"/>
              <w:sz w:val="28"/>
              <w:szCs w:val="28"/>
              <w:lang w:eastAsia="zh-CN"/>
            </w:rPr>
            <w:t>适用范围</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_Toc16605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_Toc24525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3.3技术要求</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_Toc24525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8</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_Toc228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3.4用水量</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_Toc228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_Toc11354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3.5合格产品产量</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_Toc11354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_Toc9338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3.6耗水性能表示</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_Toc9338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_Toc6274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3.7工作流程</w:t>
          </w:r>
          <w:bookmarkStart w:id="74" w:name="_GoBack"/>
          <w:bookmarkEnd w:id="74"/>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_Toc6274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_Toc863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3.8测试报告</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_Toc863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9"/>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_Toc6491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i w:val="0"/>
              <w:sz w:val="28"/>
              <w:szCs w:val="28"/>
              <w:lang w:val="en-US" w:eastAsia="zh-CN"/>
            </w:rPr>
            <w:t>3.9附录</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_Toc6491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8"/>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_Toc4445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28"/>
              <w:sz w:val="28"/>
              <w:szCs w:val="28"/>
              <w:lang w:val="en-US" w:eastAsia="zh-CN"/>
            </w:rPr>
            <w:t>4.与国际、国外同类标准技术内容的对比情况</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_Toc4445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9</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8"/>
            <w:tabs>
              <w:tab w:val="right" w:leader="dot" w:pos="8306"/>
            </w:tabs>
            <w:rPr>
              <w:rFonts w:hint="eastAsia" w:ascii="华文楷体" w:hAnsi="华文楷体" w:eastAsia="华文楷体" w:cs="华文楷体"/>
              <w:sz w:val="28"/>
              <w:szCs w:val="28"/>
            </w:rPr>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_Toc616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28"/>
              <w:sz w:val="28"/>
              <w:szCs w:val="28"/>
              <w:lang w:val="en-US" w:eastAsia="zh-CN"/>
            </w:rPr>
            <w:t>5.与国际、国外同类标准技术内容的对比情况</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_Toc616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10</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pStyle w:val="8"/>
            <w:tabs>
              <w:tab w:val="right" w:leader="dot" w:pos="8306"/>
            </w:tabs>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HYPERLINK \l _Toc20292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kern w:val="28"/>
              <w:sz w:val="28"/>
              <w:szCs w:val="28"/>
              <w:lang w:val="en-US" w:eastAsia="zh-CN"/>
            </w:rPr>
            <w:t>6.与国际、国外同类标准技术内容的对比情况</w:t>
          </w:r>
          <w:r>
            <w:rPr>
              <w:rFonts w:hint="eastAsia" w:ascii="华文楷体" w:hAnsi="华文楷体" w:eastAsia="华文楷体" w:cs="华文楷体"/>
              <w:sz w:val="28"/>
              <w:szCs w:val="28"/>
            </w:rPr>
            <w:tab/>
          </w: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PAGEREF _Toc20292 \h </w:instrText>
          </w:r>
          <w:r>
            <w:rPr>
              <w:rFonts w:hint="eastAsia" w:ascii="华文楷体" w:hAnsi="华文楷体" w:eastAsia="华文楷体" w:cs="华文楷体"/>
              <w:sz w:val="28"/>
              <w:szCs w:val="28"/>
            </w:rPr>
            <w:fldChar w:fldCharType="separate"/>
          </w:r>
          <w:r>
            <w:rPr>
              <w:rFonts w:hint="eastAsia" w:ascii="华文楷体" w:hAnsi="华文楷体" w:eastAsia="华文楷体" w:cs="华文楷体"/>
              <w:sz w:val="28"/>
              <w:szCs w:val="28"/>
            </w:rPr>
            <w:t>10</w:t>
          </w:r>
          <w:r>
            <w:rPr>
              <w:rFonts w:hint="eastAsia" w:ascii="华文楷体" w:hAnsi="华文楷体" w:eastAsia="华文楷体" w:cs="华文楷体"/>
              <w:sz w:val="28"/>
              <w:szCs w:val="28"/>
            </w:rPr>
            <w:fldChar w:fldCharType="end"/>
          </w:r>
          <w:r>
            <w:rPr>
              <w:rFonts w:hint="eastAsia" w:ascii="华文楷体" w:hAnsi="华文楷体" w:eastAsia="华文楷体" w:cs="华文楷体"/>
              <w:sz w:val="28"/>
              <w:szCs w:val="28"/>
            </w:rPr>
            <w:fldChar w:fldCharType="end"/>
          </w:r>
        </w:p>
        <w:p>
          <w:pPr>
            <w:rPr>
              <w:rFonts w:hint="eastAsia" w:ascii="华文楷体" w:hAnsi="华文楷体" w:eastAsia="华文楷体" w:cs="华文楷体"/>
              <w:szCs w:val="24"/>
            </w:rPr>
          </w:pPr>
          <w:r>
            <w:rPr>
              <w:rFonts w:hint="eastAsia" w:ascii="华文楷体" w:hAnsi="华文楷体" w:eastAsia="华文楷体" w:cs="华文楷体"/>
              <w:szCs w:val="24"/>
            </w:rPr>
            <w:fldChar w:fldCharType="end"/>
          </w:r>
        </w:p>
        <w:p>
          <w:pPr>
            <w:rPr>
              <w:rFonts w:hint="eastAsia" w:ascii="华文楷体" w:hAnsi="华文楷体" w:eastAsia="华文楷体" w:cs="华文楷体"/>
              <w:sz w:val="24"/>
              <w:szCs w:val="24"/>
            </w:rPr>
          </w:pPr>
        </w:p>
      </w:sdtContent>
    </w:sdt>
    <w:p>
      <w:pPr>
        <w:rPr>
          <w:rFonts w:ascii="黑体" w:hAnsi="黑体" w:eastAsia="黑体"/>
          <w:kern w:val="28"/>
          <w:sz w:val="28"/>
          <w:szCs w:val="28"/>
        </w:rPr>
      </w:pPr>
      <w:bookmarkStart w:id="4" w:name="_Toc32047"/>
      <w:r>
        <w:rPr>
          <w:rFonts w:ascii="黑体" w:hAnsi="黑体" w:eastAsia="黑体"/>
          <w:kern w:val="28"/>
          <w:sz w:val="28"/>
          <w:szCs w:val="28"/>
        </w:rPr>
        <w:br w:type="page"/>
      </w:r>
    </w:p>
    <w:p/>
    <w:p>
      <w:pPr>
        <w:pStyle w:val="2"/>
        <w:snapToGrid/>
        <w:spacing w:before="0" w:after="0" w:line="360" w:lineRule="auto"/>
        <w:contextualSpacing/>
        <w:rPr>
          <w:rFonts w:ascii="黑体" w:hAnsi="黑体" w:eastAsia="黑体"/>
          <w:kern w:val="28"/>
          <w:sz w:val="28"/>
          <w:szCs w:val="28"/>
        </w:rPr>
      </w:pPr>
      <w:r>
        <w:rPr>
          <w:rFonts w:ascii="黑体" w:hAnsi="黑体" w:eastAsia="黑体"/>
          <w:kern w:val="28"/>
          <w:sz w:val="28"/>
          <w:szCs w:val="28"/>
        </w:rPr>
        <w:t xml:space="preserve">1  </w:t>
      </w:r>
      <w:r>
        <w:rPr>
          <w:rFonts w:hint="eastAsia" w:ascii="黑体" w:hAnsi="黑体" w:eastAsia="黑体"/>
          <w:kern w:val="28"/>
          <w:sz w:val="28"/>
          <w:szCs w:val="28"/>
        </w:rPr>
        <w:t>项目背景</w:t>
      </w:r>
      <w:bookmarkEnd w:id="2"/>
      <w:r>
        <w:rPr>
          <w:rFonts w:hint="eastAsia" w:ascii="黑体" w:hAnsi="黑体" w:eastAsia="黑体"/>
          <w:kern w:val="28"/>
          <w:sz w:val="28"/>
          <w:szCs w:val="28"/>
        </w:rPr>
        <w:t>及工作过程</w:t>
      </w:r>
      <w:bookmarkEnd w:id="3"/>
      <w:bookmarkEnd w:id="4"/>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5" w:name="_Toc18058269"/>
      <w:bookmarkStart w:id="6" w:name="_Toc879"/>
      <w:bookmarkStart w:id="7" w:name="_Toc479193921"/>
      <w:r>
        <w:rPr>
          <w:rFonts w:hint="eastAsia" w:ascii="黑体" w:hAnsi="黑体" w:eastAsia="黑体"/>
          <w:i w:val="0"/>
          <w:lang w:val="en-US" w:eastAsia="zh-CN"/>
        </w:rPr>
        <w:t>1.1项目背景</w:t>
      </w:r>
      <w:bookmarkEnd w:id="5"/>
      <w:bookmarkEnd w:id="6"/>
    </w:p>
    <w:p>
      <w:pPr>
        <w:snapToGrid/>
        <w:spacing w:after="0" w:line="360" w:lineRule="auto"/>
        <w:ind w:firstLine="424" w:firstLineChars="177"/>
        <w:contextualSpacing/>
        <w:rPr>
          <w:rFonts w:hint="eastAsia" w:ascii="宋体" w:hAnsi="宋体" w:eastAsia="宋体"/>
          <w:sz w:val="24"/>
          <w:szCs w:val="24"/>
          <w:lang w:val="zh-CN"/>
        </w:rPr>
      </w:pPr>
      <w:r>
        <w:rPr>
          <w:rFonts w:hint="eastAsia" w:ascii="宋体" w:hAnsi="宋体" w:eastAsia="宋体"/>
          <w:sz w:val="24"/>
          <w:szCs w:val="24"/>
          <w:lang w:val="zh-CN"/>
        </w:rPr>
        <w:t>染色</w:t>
      </w:r>
      <w:r>
        <w:rPr>
          <w:rFonts w:hint="eastAsia" w:ascii="宋体" w:hAnsi="宋体" w:eastAsia="宋体"/>
          <w:sz w:val="24"/>
          <w:szCs w:val="24"/>
          <w:lang w:val="en-US" w:eastAsia="zh-CN"/>
        </w:rPr>
        <w:t>设备，包括间歇式染色机和连续式染色机，</w:t>
      </w:r>
      <w:r>
        <w:rPr>
          <w:rFonts w:hint="eastAsia" w:ascii="宋体" w:hAnsi="宋体" w:eastAsia="宋体"/>
          <w:sz w:val="24"/>
          <w:szCs w:val="24"/>
          <w:lang w:val="zh-CN"/>
        </w:rPr>
        <w:t>是染整生产过程中最重要的耗能设备和耗水设备之一。染色</w:t>
      </w:r>
      <w:r>
        <w:rPr>
          <w:rFonts w:hint="eastAsia" w:ascii="宋体" w:hAnsi="宋体" w:eastAsia="宋体"/>
          <w:sz w:val="24"/>
          <w:szCs w:val="24"/>
          <w:lang w:val="en-US" w:eastAsia="zh-CN"/>
        </w:rPr>
        <w:t>设备</w:t>
      </w:r>
      <w:r>
        <w:rPr>
          <w:rFonts w:hint="eastAsia" w:ascii="宋体" w:hAnsi="宋体" w:eastAsia="宋体"/>
          <w:sz w:val="24"/>
          <w:szCs w:val="24"/>
          <w:lang w:val="zh-CN"/>
        </w:rPr>
        <w:t>的水耗不仅与染色生产的</w:t>
      </w:r>
      <w:r>
        <w:rPr>
          <w:rFonts w:hint="eastAsia" w:ascii="宋体" w:hAnsi="宋体" w:eastAsia="宋体"/>
          <w:sz w:val="24"/>
          <w:szCs w:val="24"/>
          <w:lang w:val="en-US" w:eastAsia="zh-CN"/>
        </w:rPr>
        <w:t>取</w:t>
      </w:r>
      <w:r>
        <w:rPr>
          <w:rFonts w:hint="eastAsia" w:ascii="宋体" w:hAnsi="宋体" w:eastAsia="宋体"/>
          <w:sz w:val="24"/>
          <w:szCs w:val="24"/>
          <w:lang w:val="zh-CN"/>
        </w:rPr>
        <w:t>水量有关，还与生产过程中能耗以及废水产生量有关。</w:t>
      </w:r>
      <w:r>
        <w:rPr>
          <w:rFonts w:hint="eastAsia" w:ascii="宋体" w:hAnsi="宋体" w:eastAsia="宋体"/>
          <w:sz w:val="24"/>
          <w:szCs w:val="24"/>
          <w:lang w:val="en-US" w:eastAsia="zh-CN"/>
        </w:rPr>
        <w:t>染色设备的种类很多，例如，有轧染染色机、</w:t>
      </w:r>
      <w:r>
        <w:rPr>
          <w:rFonts w:hint="eastAsia" w:ascii="宋体" w:hAnsi="宋体" w:eastAsia="宋体"/>
          <w:sz w:val="24"/>
          <w:szCs w:val="24"/>
          <w:lang w:val="zh-CN"/>
        </w:rPr>
        <w:t>间歇式染色机</w:t>
      </w:r>
      <w:r>
        <w:rPr>
          <w:rFonts w:hint="eastAsia" w:ascii="宋体" w:hAnsi="宋体" w:eastAsia="宋体"/>
          <w:sz w:val="24"/>
          <w:szCs w:val="24"/>
          <w:lang w:val="en-US" w:eastAsia="zh-CN"/>
        </w:rPr>
        <w:t>和浆染联合生产线。在间歇式染色机中又</w:t>
      </w:r>
      <w:r>
        <w:rPr>
          <w:rFonts w:hint="eastAsia" w:ascii="宋体" w:hAnsi="宋体" w:eastAsia="宋体"/>
          <w:sz w:val="24"/>
          <w:szCs w:val="24"/>
          <w:lang w:val="zh-CN"/>
        </w:rPr>
        <w:t>有</w:t>
      </w:r>
      <w:r>
        <w:rPr>
          <w:rFonts w:hint="eastAsia" w:ascii="宋体" w:hAnsi="宋体" w:eastAsia="宋体"/>
          <w:sz w:val="24"/>
          <w:szCs w:val="24"/>
          <w:lang w:val="en-US" w:eastAsia="zh-CN"/>
        </w:rPr>
        <w:t>常温常压喷射溢流</w:t>
      </w:r>
      <w:r>
        <w:rPr>
          <w:rFonts w:hint="eastAsia" w:ascii="宋体" w:hAnsi="宋体" w:eastAsia="宋体"/>
          <w:sz w:val="24"/>
          <w:szCs w:val="24"/>
          <w:lang w:val="zh-CN"/>
        </w:rPr>
        <w:t>染色机、</w:t>
      </w:r>
      <w:r>
        <w:rPr>
          <w:rFonts w:hint="eastAsia" w:ascii="宋体" w:hAnsi="宋体" w:eastAsia="宋体"/>
          <w:sz w:val="24"/>
          <w:szCs w:val="24"/>
          <w:lang w:val="en-US" w:eastAsia="zh-CN"/>
        </w:rPr>
        <w:t>高温高压喷射溢流</w:t>
      </w:r>
      <w:r>
        <w:rPr>
          <w:rFonts w:hint="eastAsia" w:ascii="宋体" w:hAnsi="宋体" w:eastAsia="宋体"/>
          <w:sz w:val="24"/>
          <w:szCs w:val="24"/>
          <w:lang w:val="zh-CN"/>
        </w:rPr>
        <w:t>染色机、</w:t>
      </w:r>
      <w:r>
        <w:rPr>
          <w:rFonts w:hint="eastAsia" w:ascii="宋体" w:hAnsi="宋体" w:eastAsia="宋体"/>
          <w:sz w:val="24"/>
          <w:szCs w:val="24"/>
          <w:lang w:val="en-US" w:eastAsia="zh-CN"/>
        </w:rPr>
        <w:t>高温高压</w:t>
      </w:r>
      <w:r>
        <w:rPr>
          <w:rFonts w:hint="eastAsia" w:ascii="宋体" w:hAnsi="宋体" w:eastAsia="宋体"/>
          <w:sz w:val="24"/>
          <w:szCs w:val="24"/>
          <w:lang w:val="zh-CN"/>
        </w:rPr>
        <w:t>筒子纱染色机、</w:t>
      </w:r>
      <w:r>
        <w:rPr>
          <w:rFonts w:hint="eastAsia" w:ascii="宋体" w:hAnsi="宋体" w:eastAsia="宋体"/>
          <w:sz w:val="24"/>
          <w:szCs w:val="24"/>
          <w:lang w:val="en-US" w:eastAsia="zh-CN"/>
        </w:rPr>
        <w:t>常温常压</w:t>
      </w:r>
      <w:r>
        <w:rPr>
          <w:rFonts w:hint="eastAsia" w:ascii="宋体" w:hAnsi="宋体" w:eastAsia="宋体"/>
          <w:sz w:val="24"/>
          <w:szCs w:val="24"/>
          <w:lang w:val="zh-CN"/>
        </w:rPr>
        <w:t>径轴染色机、</w:t>
      </w:r>
      <w:r>
        <w:rPr>
          <w:rFonts w:hint="eastAsia" w:ascii="宋体" w:hAnsi="宋体" w:eastAsia="宋体"/>
          <w:sz w:val="24"/>
          <w:szCs w:val="24"/>
          <w:lang w:val="en-US" w:eastAsia="zh-CN"/>
        </w:rPr>
        <w:t>高温高压</w:t>
      </w:r>
      <w:r>
        <w:rPr>
          <w:rFonts w:hint="eastAsia" w:ascii="宋体" w:hAnsi="宋体" w:eastAsia="宋体"/>
          <w:sz w:val="24"/>
          <w:szCs w:val="24"/>
          <w:lang w:val="zh-CN"/>
        </w:rPr>
        <w:t>卷染机等等。在生产工艺中，</w:t>
      </w:r>
      <w:r>
        <w:rPr>
          <w:rFonts w:hint="eastAsia" w:ascii="宋体" w:hAnsi="宋体" w:eastAsia="宋体"/>
          <w:sz w:val="24"/>
          <w:szCs w:val="24"/>
          <w:lang w:val="en-US" w:eastAsia="zh-CN"/>
        </w:rPr>
        <w:t>轧染染色机常用于机织布的染色，间歇式染色机可以用于针织布、机织布、纱线和散纤维的染色，浆染联合生产线用于牛仔纱线的染色。在多种染色设备中，</w:t>
      </w:r>
      <w:r>
        <w:rPr>
          <w:rFonts w:hint="eastAsia" w:ascii="宋体" w:hAnsi="宋体" w:eastAsia="宋体"/>
          <w:sz w:val="24"/>
          <w:szCs w:val="24"/>
          <w:lang w:val="zh-CN"/>
        </w:rPr>
        <w:t>间歇式染色机具有机型多、适用性广、可用于小批量多品种的生产，在染整企业中得到了广泛的应用。目前，国内正在运行的染色</w:t>
      </w:r>
      <w:r>
        <w:rPr>
          <w:rFonts w:hint="eastAsia" w:ascii="宋体" w:hAnsi="宋体" w:eastAsia="宋体"/>
          <w:sz w:val="24"/>
          <w:szCs w:val="24"/>
          <w:lang w:val="en-US" w:eastAsia="zh-CN"/>
        </w:rPr>
        <w:t>设备</w:t>
      </w:r>
      <w:r>
        <w:rPr>
          <w:rFonts w:hint="eastAsia" w:ascii="宋体" w:hAnsi="宋体" w:eastAsia="宋体"/>
          <w:sz w:val="24"/>
          <w:szCs w:val="24"/>
          <w:lang w:val="zh-CN"/>
        </w:rPr>
        <w:t>在</w:t>
      </w:r>
      <w:r>
        <w:rPr>
          <w:rFonts w:hint="eastAsia" w:ascii="宋体" w:hAnsi="宋体" w:eastAsia="宋体"/>
          <w:sz w:val="24"/>
          <w:szCs w:val="24"/>
          <w:lang w:val="en-US" w:eastAsia="zh-CN"/>
        </w:rPr>
        <w:t>几</w:t>
      </w:r>
      <w:r>
        <w:rPr>
          <w:rFonts w:hint="eastAsia" w:ascii="宋体" w:hAnsi="宋体" w:eastAsia="宋体"/>
          <w:sz w:val="24"/>
          <w:szCs w:val="24"/>
          <w:lang w:val="zh-CN"/>
        </w:rPr>
        <w:t>十万台数量级。</w:t>
      </w:r>
    </w:p>
    <w:p>
      <w:pPr>
        <w:snapToGrid/>
        <w:spacing w:after="0" w:line="360" w:lineRule="auto"/>
        <w:ind w:firstLine="424" w:firstLineChars="177"/>
        <w:contextualSpacing/>
        <w:rPr>
          <w:rFonts w:hint="eastAsia" w:ascii="宋体" w:hAnsi="宋体" w:eastAsia="宋体"/>
          <w:sz w:val="24"/>
          <w:szCs w:val="24"/>
          <w:lang w:val="en-US" w:eastAsia="zh-CN"/>
        </w:rPr>
      </w:pPr>
      <w:r>
        <w:rPr>
          <w:rFonts w:hint="eastAsia" w:ascii="宋体" w:hAnsi="宋体" w:eastAsia="宋体"/>
          <w:sz w:val="24"/>
          <w:szCs w:val="24"/>
          <w:lang w:val="zh-CN"/>
        </w:rPr>
        <w:t>从“十一五”以来，染整行业开展了广泛的节能减排工作，取得了巨大的成效，其中，染色</w:t>
      </w:r>
      <w:r>
        <w:rPr>
          <w:rFonts w:hint="eastAsia" w:ascii="宋体" w:hAnsi="宋体" w:eastAsia="宋体"/>
          <w:sz w:val="24"/>
          <w:szCs w:val="24"/>
          <w:lang w:val="en-US" w:eastAsia="zh-CN"/>
        </w:rPr>
        <w:t>设备</w:t>
      </w:r>
      <w:r>
        <w:rPr>
          <w:rFonts w:hint="eastAsia" w:ascii="宋体" w:hAnsi="宋体" w:eastAsia="宋体"/>
          <w:sz w:val="24"/>
          <w:szCs w:val="24"/>
          <w:lang w:val="zh-CN"/>
        </w:rPr>
        <w:t>的改进与发展在染整行业节能减排工作中起到了重要的作用。</w:t>
      </w:r>
      <w:r>
        <w:rPr>
          <w:rFonts w:hint="eastAsia" w:ascii="宋体" w:hAnsi="宋体" w:eastAsia="宋体"/>
          <w:sz w:val="24"/>
          <w:szCs w:val="24"/>
          <w:lang w:val="en-US" w:eastAsia="zh-CN"/>
        </w:rPr>
        <w:t>最显著的成果之一是</w:t>
      </w:r>
      <w:r>
        <w:rPr>
          <w:rFonts w:hint="eastAsia" w:ascii="宋体" w:hAnsi="宋体" w:eastAsia="宋体"/>
          <w:sz w:val="24"/>
          <w:szCs w:val="24"/>
          <w:lang w:val="zh-CN"/>
        </w:rPr>
        <w:t>染色</w:t>
      </w:r>
      <w:r>
        <w:rPr>
          <w:rFonts w:hint="eastAsia" w:ascii="宋体" w:hAnsi="宋体" w:eastAsia="宋体"/>
          <w:sz w:val="24"/>
          <w:szCs w:val="24"/>
          <w:lang w:val="en-US" w:eastAsia="zh-CN"/>
        </w:rPr>
        <w:t>设备</w:t>
      </w:r>
      <w:r>
        <w:rPr>
          <w:rFonts w:hint="eastAsia" w:ascii="宋体" w:hAnsi="宋体" w:eastAsia="宋体"/>
          <w:sz w:val="24"/>
          <w:szCs w:val="24"/>
          <w:lang w:val="zh-CN"/>
        </w:rPr>
        <w:t>的用水效率</w:t>
      </w:r>
      <w:r>
        <w:rPr>
          <w:rFonts w:hint="eastAsia" w:ascii="宋体" w:hAnsi="宋体" w:eastAsia="宋体"/>
          <w:sz w:val="24"/>
          <w:szCs w:val="24"/>
          <w:lang w:val="en-US" w:eastAsia="zh-CN"/>
        </w:rPr>
        <w:t>的</w:t>
      </w:r>
      <w:r>
        <w:rPr>
          <w:rFonts w:hint="eastAsia" w:ascii="宋体" w:hAnsi="宋体" w:eastAsia="宋体"/>
          <w:sz w:val="24"/>
          <w:szCs w:val="24"/>
          <w:lang w:val="zh-CN"/>
        </w:rPr>
        <w:t>提高。《</w:t>
      </w:r>
      <w:r>
        <w:rPr>
          <w:rFonts w:hint="eastAsia" w:ascii="宋体" w:hAnsi="宋体" w:eastAsia="宋体"/>
          <w:sz w:val="24"/>
          <w:szCs w:val="24"/>
          <w:lang w:val="en-US" w:eastAsia="zh-CN"/>
        </w:rPr>
        <w:t>染色机水效限定值及水效等级》（FZ/T 07007-2020)的发布使到间歇式</w:t>
      </w:r>
      <w:r>
        <w:rPr>
          <w:rFonts w:hint="eastAsia" w:ascii="宋体" w:hAnsi="宋体" w:eastAsia="宋体"/>
          <w:sz w:val="24"/>
          <w:szCs w:val="24"/>
          <w:lang w:val="zh-CN"/>
        </w:rPr>
        <w:t>染色机水效评价</w:t>
      </w:r>
      <w:r>
        <w:rPr>
          <w:rFonts w:hint="eastAsia" w:ascii="宋体" w:hAnsi="宋体" w:eastAsia="宋体"/>
          <w:sz w:val="24"/>
          <w:szCs w:val="24"/>
          <w:lang w:val="en-US" w:eastAsia="zh-CN"/>
        </w:rPr>
        <w:t>的工作上了一个台阶，发挥了很大的作用。但</w:t>
      </w:r>
      <w:r>
        <w:rPr>
          <w:rFonts w:hint="eastAsia" w:ascii="宋体" w:hAnsi="宋体" w:eastAsia="宋体"/>
          <w:sz w:val="24"/>
          <w:szCs w:val="24"/>
          <w:lang w:val="zh-CN"/>
        </w:rPr>
        <w:t>《</w:t>
      </w:r>
      <w:r>
        <w:rPr>
          <w:rFonts w:hint="eastAsia" w:ascii="宋体" w:hAnsi="宋体" w:eastAsia="宋体"/>
          <w:sz w:val="24"/>
          <w:szCs w:val="24"/>
          <w:lang w:val="en-US" w:eastAsia="zh-CN"/>
        </w:rPr>
        <w:t>染色机水效限定值及水效等级》仍存在一定的局限性。主要有：</w:t>
      </w:r>
    </w:p>
    <w:p>
      <w:pPr>
        <w:snapToGrid/>
        <w:spacing w:after="0" w:line="360" w:lineRule="auto"/>
        <w:ind w:firstLine="424" w:firstLineChars="177"/>
        <w:contextualSpacing/>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eastAsia" w:ascii="宋体" w:hAnsi="宋体" w:eastAsia="宋体"/>
          <w:sz w:val="24"/>
          <w:szCs w:val="24"/>
          <w:lang w:val="zh-CN"/>
        </w:rPr>
        <w:t>《</w:t>
      </w:r>
      <w:r>
        <w:rPr>
          <w:rFonts w:hint="eastAsia" w:ascii="宋体" w:hAnsi="宋体" w:eastAsia="宋体"/>
          <w:sz w:val="24"/>
          <w:szCs w:val="24"/>
          <w:lang w:val="en-US" w:eastAsia="zh-CN"/>
        </w:rPr>
        <w:t>染色机水效限定值及水效等级》只给出了部分染色机的水效限定值及水效等级，尤其是缺少对轧染染色机的水效评价以及评价方法。</w:t>
      </w:r>
    </w:p>
    <w:p>
      <w:pPr>
        <w:snapToGrid/>
        <w:spacing w:after="0" w:line="360" w:lineRule="auto"/>
        <w:ind w:firstLine="424" w:firstLineChars="177"/>
        <w:contextualSpacing/>
        <w:rPr>
          <w:rFonts w:hint="eastAsia" w:ascii="宋体" w:hAnsi="宋体" w:eastAsia="宋体"/>
          <w:sz w:val="24"/>
          <w:szCs w:val="24"/>
          <w:lang w:val="en-US" w:eastAsia="zh-CN"/>
        </w:rPr>
      </w:pPr>
      <w:r>
        <w:rPr>
          <w:rFonts w:hint="eastAsia" w:ascii="宋体" w:hAnsi="宋体" w:eastAsia="宋体"/>
          <w:sz w:val="24"/>
          <w:szCs w:val="24"/>
          <w:lang w:val="en-US" w:eastAsia="zh-CN"/>
        </w:rPr>
        <w:t>2.为了满足染色机水效的横向对比，</w:t>
      </w:r>
      <w:r>
        <w:rPr>
          <w:rFonts w:hint="eastAsia" w:ascii="宋体" w:hAnsi="宋体" w:eastAsia="宋体"/>
          <w:sz w:val="24"/>
          <w:szCs w:val="24"/>
          <w:lang w:val="zh-CN"/>
        </w:rPr>
        <w:t>《</w:t>
      </w:r>
      <w:r>
        <w:rPr>
          <w:rFonts w:hint="eastAsia" w:ascii="宋体" w:hAnsi="宋体" w:eastAsia="宋体"/>
          <w:sz w:val="24"/>
          <w:szCs w:val="24"/>
          <w:lang w:val="en-US" w:eastAsia="zh-CN"/>
        </w:rPr>
        <w:t>染色机水效限定值及水效等级》给出的水效测试方法是在一定的标准状况下进行，不是生产实际情况。这样导致试验的方法与大生产实际情况有出入，即该试验方法不能用于大生产实际。</w:t>
      </w:r>
    </w:p>
    <w:p>
      <w:pPr>
        <w:snapToGrid/>
        <w:spacing w:after="0" w:line="360" w:lineRule="auto"/>
        <w:ind w:firstLine="424" w:firstLineChars="177"/>
        <w:contextualSpacing/>
        <w:rPr>
          <w:rFonts w:hint="default" w:ascii="宋体" w:hAnsi="宋体" w:eastAsia="宋体"/>
          <w:sz w:val="24"/>
          <w:szCs w:val="24"/>
          <w:lang w:val="en-US" w:eastAsia="zh-CN"/>
        </w:rPr>
      </w:pPr>
      <w:r>
        <w:rPr>
          <w:rFonts w:hint="eastAsia" w:ascii="宋体" w:hAnsi="宋体" w:eastAsia="宋体"/>
          <w:sz w:val="24"/>
          <w:szCs w:val="24"/>
          <w:lang w:val="en-US" w:eastAsia="zh-CN"/>
        </w:rPr>
        <w:t>为了弥补</w:t>
      </w:r>
      <w:r>
        <w:rPr>
          <w:rFonts w:hint="eastAsia" w:ascii="宋体" w:hAnsi="宋体" w:eastAsia="宋体"/>
          <w:sz w:val="24"/>
          <w:szCs w:val="24"/>
          <w:lang w:val="zh-CN"/>
        </w:rPr>
        <w:t>《</w:t>
      </w:r>
      <w:r>
        <w:rPr>
          <w:rFonts w:hint="eastAsia" w:ascii="宋体" w:hAnsi="宋体" w:eastAsia="宋体"/>
          <w:sz w:val="24"/>
          <w:szCs w:val="24"/>
          <w:lang w:val="en-US" w:eastAsia="zh-CN"/>
        </w:rPr>
        <w:t>染色机水效限定值及水效等级》的局限性，需要制定的新的染色设备耗水性能测试标准。于是，中国工业节能与清洁生产协会（以下简称中国工业节能协会）提出制定本标准。</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8" w:name="_Toc18058270"/>
      <w:bookmarkStart w:id="9" w:name="_Toc22331"/>
      <w:r>
        <w:rPr>
          <w:rFonts w:hint="eastAsia" w:ascii="黑体" w:hAnsi="黑体" w:eastAsia="黑体"/>
          <w:i w:val="0"/>
          <w:lang w:val="en-US" w:eastAsia="zh-CN"/>
        </w:rPr>
        <w:t>1.2任务来源</w:t>
      </w:r>
      <w:bookmarkEnd w:id="7"/>
      <w:bookmarkEnd w:id="8"/>
      <w:bookmarkEnd w:id="9"/>
    </w:p>
    <w:p>
      <w:pPr>
        <w:snapToGrid/>
        <w:spacing w:after="0" w:line="360" w:lineRule="auto"/>
        <w:ind w:firstLine="424" w:firstLineChars="177"/>
        <w:contextualSpacing/>
        <w:rPr>
          <w:rFonts w:hint="eastAsia" w:ascii="宋体" w:hAnsi="宋体" w:eastAsia="宋体"/>
          <w:sz w:val="24"/>
          <w:szCs w:val="24"/>
          <w:lang w:val="en-US" w:eastAsia="zh-CN"/>
        </w:rPr>
      </w:pPr>
      <w:r>
        <w:rPr>
          <w:rFonts w:hint="eastAsia" w:ascii="宋体" w:hAnsi="宋体" w:eastAsia="宋体"/>
          <w:sz w:val="24"/>
          <w:szCs w:val="24"/>
          <w:lang w:val="en-US" w:eastAsia="zh-CN"/>
        </w:rPr>
        <w:t>2023年3月，中国工业节能协会下发了《关于征集中国工业节能与清洁生产协会相关团体标准的通知》，将《耗水性能测试方法 染色设备》列入了2024年需完成的团体标准。</w:t>
      </w:r>
    </w:p>
    <w:p>
      <w:pPr>
        <w:snapToGrid/>
        <w:spacing w:after="0" w:line="360" w:lineRule="auto"/>
        <w:ind w:firstLine="424" w:firstLineChars="177"/>
        <w:contextualSpacing/>
        <w:rPr>
          <w:rFonts w:hint="eastAsia" w:ascii="宋体" w:hAnsi="宋体" w:eastAsia="宋体"/>
          <w:sz w:val="24"/>
          <w:szCs w:val="24"/>
          <w:lang w:val="en-US" w:eastAsia="zh-CN"/>
        </w:rPr>
      </w:pPr>
      <w:r>
        <w:rPr>
          <w:rFonts w:hint="eastAsia" w:ascii="宋体" w:hAnsi="宋体" w:eastAsia="宋体"/>
          <w:sz w:val="24"/>
          <w:szCs w:val="24"/>
          <w:lang w:val="en-US" w:eastAsia="zh-CN"/>
        </w:rPr>
        <w:t>2023年4月，中国工业节能协会与广州弘禹生态科技有限公司（以下简称广州弘禹公司）就《耗水性能测试方法 染色设备》的编制工作进行了多次深入的交谈和沟通，双方表示要合作开展该标准的编制工作，为此，签订了相关的合同，由弘禹公司承担标准的起草工作。在此期间，佛山市清洁生产与低碳经济协会（以下简称佛山清洁生产协会）表示有意愿参与相关的起草的工作，并作为双团标。</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10" w:name="_Toc507440745"/>
      <w:bookmarkStart w:id="11" w:name="_Toc18058271"/>
      <w:bookmarkStart w:id="12" w:name="_Toc479193934"/>
      <w:bookmarkStart w:id="13" w:name="_Toc1186"/>
      <w:r>
        <w:rPr>
          <w:rFonts w:hint="eastAsia" w:ascii="黑体" w:hAnsi="黑体" w:eastAsia="黑体"/>
          <w:i w:val="0"/>
          <w:lang w:val="en-US" w:eastAsia="zh-CN"/>
        </w:rPr>
        <w:t>1.3指导思想及依据</w:t>
      </w:r>
      <w:bookmarkEnd w:id="10"/>
      <w:bookmarkEnd w:id="11"/>
      <w:bookmarkEnd w:id="12"/>
      <w:bookmarkEnd w:id="13"/>
    </w:p>
    <w:p>
      <w:pPr>
        <w:pStyle w:val="4"/>
        <w:snapToGrid/>
        <w:spacing w:before="0" w:after="0" w:line="360" w:lineRule="auto"/>
        <w:contextualSpacing/>
        <w:rPr>
          <w:rFonts w:hint="eastAsia" w:ascii="黑体" w:hAnsi="黑体" w:eastAsia="黑体"/>
          <w:b w:val="0"/>
          <w:sz w:val="28"/>
          <w:szCs w:val="28"/>
          <w:lang w:eastAsia="zh-CN"/>
        </w:rPr>
      </w:pPr>
      <w:bookmarkStart w:id="14" w:name="_Toc18058272"/>
      <w:bookmarkStart w:id="15" w:name="_Toc18149"/>
      <w:bookmarkStart w:id="16" w:name="_Toc507440746"/>
      <w:bookmarkStart w:id="17" w:name="_Toc479193935"/>
      <w:bookmarkStart w:id="18" w:name="_Toc11452"/>
      <w:r>
        <w:rPr>
          <w:rFonts w:hint="eastAsia" w:ascii="黑体" w:hAnsi="黑体" w:eastAsia="黑体"/>
          <w:b w:val="0"/>
          <w:sz w:val="28"/>
          <w:szCs w:val="28"/>
        </w:rPr>
        <w:t>1</w:t>
      </w:r>
      <w:r>
        <w:rPr>
          <w:rFonts w:ascii="黑体" w:hAnsi="黑体" w:eastAsia="黑体"/>
          <w:b w:val="0"/>
          <w:sz w:val="28"/>
          <w:szCs w:val="28"/>
        </w:rPr>
        <w:t>.</w:t>
      </w:r>
      <w:r>
        <w:rPr>
          <w:rFonts w:hint="eastAsia" w:ascii="黑体" w:hAnsi="黑体" w:eastAsia="黑体"/>
          <w:b w:val="0"/>
          <w:sz w:val="28"/>
          <w:szCs w:val="28"/>
          <w:lang w:eastAsia="zh-CN"/>
        </w:rPr>
        <w:t>3</w:t>
      </w:r>
      <w:r>
        <w:rPr>
          <w:rFonts w:hint="eastAsia" w:ascii="黑体" w:hAnsi="黑体" w:eastAsia="黑体"/>
          <w:b w:val="0"/>
          <w:sz w:val="28"/>
          <w:szCs w:val="28"/>
        </w:rPr>
        <w:t>.1</w:t>
      </w:r>
      <w:r>
        <w:rPr>
          <w:rFonts w:ascii="黑体" w:hAnsi="黑体" w:eastAsia="黑体"/>
          <w:b w:val="0"/>
          <w:sz w:val="28"/>
          <w:szCs w:val="28"/>
        </w:rPr>
        <w:t>指导思想</w:t>
      </w:r>
      <w:bookmarkEnd w:id="14"/>
      <w:bookmarkEnd w:id="15"/>
      <w:bookmarkEnd w:id="16"/>
      <w:bookmarkEnd w:id="17"/>
      <w:bookmarkEnd w:id="18"/>
    </w:p>
    <w:p>
      <w:pPr>
        <w:widowControl w:val="0"/>
        <w:tabs>
          <w:tab w:val="left" w:pos="720"/>
        </w:tabs>
        <w:adjustRightInd/>
        <w:snapToGrid/>
        <w:spacing w:after="0" w:line="440" w:lineRule="exact"/>
        <w:ind w:firstLine="480" w:firstLineChars="200"/>
        <w:jc w:val="both"/>
        <w:rPr>
          <w:rFonts w:hint="eastAsia" w:ascii="宋体" w:hAnsi="宋体" w:eastAsia="宋体"/>
          <w:sz w:val="24"/>
          <w:szCs w:val="24"/>
          <w:lang w:val="zh-CN"/>
        </w:rPr>
      </w:pPr>
      <w:r>
        <w:rPr>
          <w:rFonts w:hint="eastAsia" w:ascii="宋体" w:hAnsi="宋体" w:eastAsia="宋体"/>
          <w:sz w:val="24"/>
          <w:szCs w:val="24"/>
          <w:lang w:val="zh-CN"/>
        </w:rPr>
        <w:t>编制本标准的指导思想是建立染色</w:t>
      </w:r>
      <w:r>
        <w:rPr>
          <w:rFonts w:hint="eastAsia" w:ascii="宋体" w:hAnsi="宋体" w:eastAsia="宋体"/>
          <w:sz w:val="24"/>
          <w:szCs w:val="24"/>
          <w:lang w:val="en-US" w:eastAsia="zh-CN"/>
        </w:rPr>
        <w:t>设备耗水性能</w:t>
      </w:r>
      <w:r>
        <w:rPr>
          <w:rFonts w:hint="eastAsia" w:ascii="宋体" w:hAnsi="宋体" w:eastAsia="宋体"/>
          <w:sz w:val="24"/>
          <w:szCs w:val="24"/>
          <w:lang w:val="zh-CN"/>
        </w:rPr>
        <w:t>检测的基本流程与方法，检测方法和流程适合现有的生产环境和条件，</w:t>
      </w:r>
      <w:r>
        <w:rPr>
          <w:rFonts w:hint="eastAsia" w:ascii="宋体" w:hAnsi="宋体" w:eastAsia="宋体"/>
          <w:sz w:val="24"/>
          <w:szCs w:val="24"/>
          <w:lang w:val="en-US" w:eastAsia="zh-CN"/>
        </w:rPr>
        <w:t>具有较好的实用性，能</w:t>
      </w:r>
      <w:r>
        <w:rPr>
          <w:rFonts w:hint="eastAsia" w:ascii="宋体" w:hAnsi="宋体" w:eastAsia="宋体"/>
          <w:sz w:val="24"/>
          <w:szCs w:val="24"/>
          <w:lang w:val="zh-CN"/>
        </w:rPr>
        <w:t>促进染色机生产企业开发和生产水效更高的染色</w:t>
      </w:r>
      <w:r>
        <w:rPr>
          <w:rFonts w:hint="eastAsia" w:ascii="宋体" w:hAnsi="宋体" w:eastAsia="宋体"/>
          <w:sz w:val="24"/>
          <w:szCs w:val="24"/>
          <w:lang w:val="en-US" w:eastAsia="zh-CN"/>
        </w:rPr>
        <w:t>设备</w:t>
      </w:r>
      <w:r>
        <w:rPr>
          <w:rFonts w:hint="eastAsia" w:ascii="宋体" w:hAnsi="宋体" w:eastAsia="宋体"/>
          <w:sz w:val="24"/>
          <w:szCs w:val="24"/>
          <w:lang w:val="zh-CN"/>
        </w:rPr>
        <w:t>，推动染色</w:t>
      </w:r>
      <w:r>
        <w:rPr>
          <w:rFonts w:hint="eastAsia" w:ascii="宋体" w:hAnsi="宋体" w:eastAsia="宋体"/>
          <w:sz w:val="24"/>
          <w:szCs w:val="24"/>
          <w:lang w:val="en-US" w:eastAsia="zh-CN"/>
        </w:rPr>
        <w:t>设备</w:t>
      </w:r>
      <w:r>
        <w:rPr>
          <w:rFonts w:hint="eastAsia" w:ascii="宋体" w:hAnsi="宋体" w:eastAsia="宋体"/>
          <w:sz w:val="24"/>
          <w:szCs w:val="24"/>
          <w:lang w:val="zh-CN"/>
        </w:rPr>
        <w:t>使用企业选择和使用水效更高的染色</w:t>
      </w:r>
      <w:r>
        <w:rPr>
          <w:rFonts w:hint="eastAsia" w:ascii="宋体" w:hAnsi="宋体" w:eastAsia="宋体"/>
          <w:sz w:val="24"/>
          <w:szCs w:val="24"/>
          <w:lang w:val="en-US" w:eastAsia="zh-CN"/>
        </w:rPr>
        <w:t>设备</w:t>
      </w:r>
      <w:r>
        <w:rPr>
          <w:rFonts w:hint="eastAsia" w:ascii="宋体" w:hAnsi="宋体" w:eastAsia="宋体"/>
          <w:sz w:val="24"/>
          <w:szCs w:val="24"/>
          <w:lang w:val="zh-CN"/>
        </w:rPr>
        <w:t>，从而带动染整行业的节水工作的深入。</w:t>
      </w:r>
    </w:p>
    <w:p>
      <w:pPr>
        <w:pStyle w:val="4"/>
        <w:snapToGrid/>
        <w:spacing w:before="0" w:after="0" w:line="360" w:lineRule="auto"/>
        <w:contextualSpacing/>
        <w:rPr>
          <w:rFonts w:ascii="黑体" w:hAnsi="黑体" w:eastAsia="黑体"/>
          <w:b w:val="0"/>
          <w:sz w:val="28"/>
          <w:szCs w:val="28"/>
        </w:rPr>
      </w:pPr>
      <w:bookmarkStart w:id="19" w:name="_Toc3274"/>
      <w:bookmarkStart w:id="20" w:name="_Toc18058273"/>
      <w:bookmarkStart w:id="21" w:name="_Toc25455"/>
      <w:r>
        <w:rPr>
          <w:rFonts w:hint="eastAsia" w:ascii="黑体" w:hAnsi="黑体" w:eastAsia="黑体"/>
          <w:b w:val="0"/>
          <w:sz w:val="28"/>
          <w:szCs w:val="28"/>
        </w:rPr>
        <w:t>1.3.2编制原则</w:t>
      </w:r>
      <w:bookmarkEnd w:id="19"/>
      <w:bookmarkEnd w:id="20"/>
      <w:bookmarkEnd w:id="21"/>
    </w:p>
    <w:p>
      <w:pPr>
        <w:widowControl w:val="0"/>
        <w:adjustRightInd/>
        <w:snapToGrid/>
        <w:spacing w:after="0" w:line="440" w:lineRule="exact"/>
        <w:ind w:firstLine="480" w:firstLineChars="200"/>
        <w:jc w:val="both"/>
        <w:rPr>
          <w:rFonts w:hint="eastAsia" w:ascii="宋体" w:hAnsi="宋体" w:eastAsia="宋体"/>
          <w:sz w:val="24"/>
          <w:szCs w:val="24"/>
          <w:lang w:val="zh-CN"/>
        </w:rPr>
      </w:pPr>
      <w:r>
        <w:rPr>
          <w:rFonts w:hint="eastAsia" w:ascii="宋体" w:hAnsi="宋体" w:eastAsia="宋体"/>
          <w:sz w:val="24"/>
          <w:szCs w:val="24"/>
          <w:lang w:val="zh-CN"/>
        </w:rPr>
        <w:t>在标准的编制过程中，注重以下</w:t>
      </w:r>
      <w:r>
        <w:rPr>
          <w:rFonts w:ascii="宋体" w:hAnsi="宋体" w:eastAsia="宋体"/>
          <w:sz w:val="24"/>
          <w:szCs w:val="24"/>
          <w:lang w:val="zh-CN"/>
        </w:rPr>
        <w:t>几个</w:t>
      </w:r>
      <w:r>
        <w:rPr>
          <w:rFonts w:hint="eastAsia" w:ascii="宋体" w:hAnsi="宋体" w:eastAsia="宋体"/>
          <w:sz w:val="24"/>
          <w:szCs w:val="24"/>
          <w:lang w:val="zh-CN"/>
        </w:rPr>
        <w:t>原则</w:t>
      </w:r>
      <w:r>
        <w:rPr>
          <w:rFonts w:ascii="宋体" w:hAnsi="宋体" w:eastAsia="宋体"/>
          <w:sz w:val="24"/>
          <w:szCs w:val="24"/>
          <w:lang w:val="zh-CN"/>
        </w:rPr>
        <w:t>：</w:t>
      </w:r>
    </w:p>
    <w:p>
      <w:pPr>
        <w:widowControl w:val="0"/>
        <w:tabs>
          <w:tab w:val="left" w:pos="720"/>
        </w:tabs>
        <w:adjustRightInd/>
        <w:snapToGrid/>
        <w:spacing w:after="0" w:line="440" w:lineRule="exact"/>
        <w:ind w:firstLine="480" w:firstLineChars="200"/>
        <w:jc w:val="both"/>
        <w:rPr>
          <w:rFonts w:hint="eastAsia" w:ascii="宋体" w:hAnsi="宋体" w:eastAsia="宋体"/>
          <w:sz w:val="24"/>
          <w:szCs w:val="24"/>
          <w:lang w:val="zh-CN"/>
        </w:rPr>
      </w:pPr>
      <w:r>
        <w:rPr>
          <w:rFonts w:hint="eastAsia" w:ascii="宋体" w:hAnsi="宋体" w:eastAsia="宋体"/>
          <w:sz w:val="24"/>
          <w:szCs w:val="24"/>
          <w:lang w:val="zh-CN"/>
        </w:rPr>
        <w:t>合规性原则：标准的编制符合相关的标准要求，标准的内容符合国家、行业的节水政策。</w:t>
      </w:r>
    </w:p>
    <w:p>
      <w:pPr>
        <w:widowControl w:val="0"/>
        <w:tabs>
          <w:tab w:val="left" w:pos="720"/>
        </w:tabs>
        <w:adjustRightInd/>
        <w:snapToGrid/>
        <w:spacing w:after="0" w:line="440" w:lineRule="exact"/>
        <w:ind w:firstLine="480" w:firstLineChars="200"/>
        <w:jc w:val="both"/>
        <w:rPr>
          <w:rFonts w:ascii="宋体" w:hAnsi="宋体" w:eastAsia="宋体"/>
          <w:sz w:val="24"/>
          <w:szCs w:val="24"/>
          <w:lang w:val="zh-CN"/>
        </w:rPr>
      </w:pPr>
      <w:r>
        <w:rPr>
          <w:rFonts w:hint="eastAsia" w:ascii="宋体" w:hAnsi="宋体" w:eastAsia="宋体"/>
          <w:sz w:val="24"/>
          <w:szCs w:val="24"/>
          <w:lang w:val="zh-CN"/>
        </w:rPr>
        <w:t>可操作性原则：根据纺织染整现有的染色机的特点，以及染整企业的管理状况、人员素质等实际情况，制定</w:t>
      </w:r>
      <w:r>
        <w:rPr>
          <w:rFonts w:hint="eastAsia" w:ascii="宋体" w:hAnsi="宋体" w:eastAsia="宋体"/>
          <w:sz w:val="24"/>
          <w:szCs w:val="24"/>
          <w:lang w:val="en-US" w:eastAsia="zh-CN"/>
        </w:rPr>
        <w:t>可行的</w:t>
      </w:r>
      <w:r>
        <w:rPr>
          <w:rFonts w:hint="eastAsia" w:ascii="宋体" w:hAnsi="宋体" w:eastAsia="宋体"/>
          <w:sz w:val="24"/>
          <w:szCs w:val="24"/>
          <w:lang w:val="zh-CN"/>
        </w:rPr>
        <w:t>检测的方法。</w:t>
      </w:r>
    </w:p>
    <w:p>
      <w:pPr>
        <w:widowControl w:val="0"/>
        <w:tabs>
          <w:tab w:val="left" w:pos="720"/>
        </w:tabs>
        <w:adjustRightInd/>
        <w:snapToGrid/>
        <w:spacing w:after="0" w:line="440" w:lineRule="exact"/>
        <w:ind w:firstLine="480" w:firstLineChars="200"/>
        <w:jc w:val="both"/>
        <w:rPr>
          <w:rFonts w:ascii="宋体" w:hAnsi="宋体" w:eastAsia="宋体"/>
          <w:sz w:val="24"/>
          <w:szCs w:val="24"/>
          <w:lang w:val="zh-CN"/>
        </w:rPr>
      </w:pPr>
      <w:r>
        <w:rPr>
          <w:rFonts w:hint="eastAsia" w:ascii="宋体" w:hAnsi="宋体" w:eastAsia="宋体"/>
          <w:sz w:val="24"/>
          <w:szCs w:val="24"/>
          <w:lang w:val="en-US" w:eastAsia="zh-CN"/>
        </w:rPr>
        <w:t>广泛</w:t>
      </w:r>
      <w:r>
        <w:rPr>
          <w:rFonts w:hint="eastAsia" w:ascii="宋体" w:hAnsi="宋体" w:eastAsia="宋体"/>
          <w:sz w:val="24"/>
          <w:szCs w:val="24"/>
          <w:lang w:val="zh-CN"/>
        </w:rPr>
        <w:t>性原则：</w:t>
      </w:r>
      <w:r>
        <w:rPr>
          <w:rFonts w:hint="eastAsia" w:ascii="宋体" w:hAnsi="宋体" w:eastAsia="宋体"/>
          <w:sz w:val="24"/>
          <w:szCs w:val="24"/>
          <w:lang w:val="en-US" w:eastAsia="zh-CN"/>
        </w:rPr>
        <w:t>本文件中规定的检测方法可以用于较广泛的染色设备，可以作为行业的标准来推行</w:t>
      </w:r>
      <w:r>
        <w:rPr>
          <w:rFonts w:hint="eastAsia" w:ascii="宋体" w:hAnsi="宋体" w:eastAsia="宋体"/>
          <w:sz w:val="24"/>
          <w:szCs w:val="24"/>
          <w:lang w:val="zh-CN"/>
        </w:rPr>
        <w:t>。</w:t>
      </w:r>
    </w:p>
    <w:p>
      <w:pPr>
        <w:pStyle w:val="4"/>
        <w:snapToGrid/>
        <w:spacing w:before="0" w:after="0" w:line="360" w:lineRule="auto"/>
        <w:contextualSpacing/>
        <w:rPr>
          <w:rFonts w:ascii="黑体" w:hAnsi="黑体" w:eastAsia="黑体"/>
          <w:b w:val="0"/>
          <w:sz w:val="28"/>
          <w:szCs w:val="28"/>
        </w:rPr>
      </w:pPr>
      <w:bookmarkStart w:id="22" w:name="_Toc18058274"/>
      <w:bookmarkStart w:id="23" w:name="_Toc507440747"/>
      <w:bookmarkStart w:id="24" w:name="_Toc11950"/>
      <w:bookmarkStart w:id="25" w:name="_Toc479193936"/>
      <w:bookmarkStart w:id="26" w:name="_Toc12927"/>
      <w:r>
        <w:rPr>
          <w:rFonts w:hint="eastAsia" w:ascii="黑体" w:hAnsi="黑体" w:eastAsia="黑体"/>
          <w:b w:val="0"/>
          <w:sz w:val="28"/>
          <w:szCs w:val="28"/>
        </w:rPr>
        <w:t>1</w:t>
      </w:r>
      <w:r>
        <w:rPr>
          <w:rFonts w:ascii="黑体" w:hAnsi="黑体" w:eastAsia="黑体"/>
          <w:b w:val="0"/>
          <w:sz w:val="28"/>
          <w:szCs w:val="28"/>
        </w:rPr>
        <w:t>.</w:t>
      </w:r>
      <w:r>
        <w:rPr>
          <w:rFonts w:hint="eastAsia" w:ascii="黑体" w:hAnsi="黑体" w:eastAsia="黑体"/>
          <w:b w:val="0"/>
          <w:sz w:val="28"/>
          <w:szCs w:val="28"/>
          <w:lang w:eastAsia="zh-CN"/>
        </w:rPr>
        <w:t>3</w:t>
      </w:r>
      <w:r>
        <w:rPr>
          <w:rFonts w:hint="eastAsia" w:ascii="黑体" w:hAnsi="黑体" w:eastAsia="黑体"/>
          <w:b w:val="0"/>
          <w:sz w:val="28"/>
          <w:szCs w:val="28"/>
        </w:rPr>
        <w:t>.3</w:t>
      </w:r>
      <w:r>
        <w:rPr>
          <w:rFonts w:ascii="黑体" w:hAnsi="黑体" w:eastAsia="黑体"/>
          <w:b w:val="0"/>
          <w:sz w:val="28"/>
          <w:szCs w:val="28"/>
        </w:rPr>
        <w:t>编制依据</w:t>
      </w:r>
      <w:bookmarkEnd w:id="22"/>
      <w:bookmarkEnd w:id="23"/>
      <w:bookmarkEnd w:id="24"/>
      <w:bookmarkEnd w:id="25"/>
      <w:bookmarkEnd w:id="26"/>
    </w:p>
    <w:p>
      <w:pPr>
        <w:widowControl w:val="0"/>
        <w:adjustRightInd/>
        <w:snapToGrid/>
        <w:spacing w:after="0" w:line="440" w:lineRule="exact"/>
        <w:ind w:firstLine="480"/>
        <w:jc w:val="both"/>
        <w:rPr>
          <w:rFonts w:hint="eastAsia" w:ascii="宋体" w:hAnsi="宋体" w:eastAsia="宋体"/>
          <w:sz w:val="24"/>
          <w:szCs w:val="24"/>
          <w:lang w:val="zh-CN"/>
        </w:rPr>
      </w:pPr>
      <w:r>
        <w:rPr>
          <w:rFonts w:hint="eastAsia" w:ascii="宋体" w:hAnsi="宋体" w:eastAsia="宋体"/>
          <w:sz w:val="24"/>
          <w:szCs w:val="24"/>
          <w:lang w:val="zh-CN"/>
        </w:rPr>
        <w:t>编制的依据主要有：</w:t>
      </w:r>
    </w:p>
    <w:p>
      <w:pPr>
        <w:widowControl w:val="0"/>
        <w:adjustRightInd/>
        <w:snapToGrid/>
        <w:spacing w:after="0" w:line="440" w:lineRule="exact"/>
        <w:ind w:firstLine="480"/>
        <w:jc w:val="both"/>
        <w:rPr>
          <w:rFonts w:hint="eastAsia" w:ascii="宋体" w:hAnsi="宋体" w:eastAsia="宋体"/>
          <w:sz w:val="24"/>
          <w:szCs w:val="24"/>
          <w:lang w:val="zh-CN"/>
        </w:rPr>
      </w:pPr>
      <w:bookmarkStart w:id="27" w:name="_Toc11954"/>
      <w:r>
        <w:rPr>
          <w:rFonts w:hint="eastAsia" w:ascii="宋体" w:hAnsi="宋体" w:eastAsia="宋体"/>
          <w:sz w:val="24"/>
          <w:szCs w:val="24"/>
          <w:lang w:val="en-US" w:eastAsia="zh-CN"/>
        </w:rPr>
        <w:t>1.</w:t>
      </w:r>
      <w:r>
        <w:rPr>
          <w:rFonts w:hint="eastAsia" w:ascii="宋体" w:hAnsi="宋体" w:eastAsia="宋体"/>
          <w:sz w:val="24"/>
          <w:szCs w:val="24"/>
          <w:lang w:val="zh-CN"/>
        </w:rPr>
        <w:t>本</w:t>
      </w:r>
      <w:r>
        <w:rPr>
          <w:rFonts w:hint="eastAsia" w:ascii="宋体" w:hAnsi="宋体" w:eastAsia="宋体"/>
          <w:sz w:val="24"/>
          <w:szCs w:val="24"/>
          <w:lang w:val="en-US" w:eastAsia="zh-CN"/>
        </w:rPr>
        <w:t>文件</w:t>
      </w:r>
      <w:r>
        <w:rPr>
          <w:rFonts w:hint="eastAsia" w:ascii="宋体" w:hAnsi="宋体" w:eastAsia="宋体"/>
          <w:sz w:val="24"/>
          <w:szCs w:val="24"/>
          <w:lang w:val="zh-CN"/>
        </w:rPr>
        <w:t>依据GB/T 1.1-2009规则进行起草。</w:t>
      </w:r>
      <w:bookmarkEnd w:id="27"/>
    </w:p>
    <w:p>
      <w:pPr>
        <w:widowControl w:val="0"/>
        <w:adjustRightInd/>
        <w:snapToGrid/>
        <w:spacing w:after="0" w:line="440" w:lineRule="exact"/>
        <w:ind w:firstLine="48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2.有关定义和术语</w:t>
      </w:r>
      <w:r>
        <w:rPr>
          <w:rFonts w:hint="eastAsia" w:ascii="宋体" w:hAnsi="宋体" w:eastAsia="宋体"/>
          <w:sz w:val="24"/>
          <w:szCs w:val="24"/>
          <w:lang w:val="zh-CN"/>
        </w:rPr>
        <w:t>是依据</w:t>
      </w:r>
      <w:r>
        <w:rPr>
          <w:rFonts w:ascii="Times New Roman" w:hAnsi="Times New Roman" w:eastAsia="宋体"/>
          <w:sz w:val="24"/>
          <w:szCs w:val="24"/>
        </w:rPr>
        <w:t>FZ/T 90112</w:t>
      </w:r>
      <w:r>
        <w:rPr>
          <w:rFonts w:ascii="宋体" w:hAnsi="宋体" w:eastAsia="宋体"/>
          <w:sz w:val="24"/>
          <w:szCs w:val="24"/>
        </w:rPr>
        <w:t xml:space="preserve"> </w:t>
      </w:r>
      <w:r>
        <w:rPr>
          <w:rFonts w:hint="eastAsia" w:ascii="宋体" w:hAnsi="宋体" w:eastAsia="宋体"/>
          <w:sz w:val="24"/>
          <w:szCs w:val="24"/>
        </w:rPr>
        <w:t>《染色机染色浴比试验方法》</w:t>
      </w:r>
      <w:r>
        <w:rPr>
          <w:rFonts w:hint="eastAsia" w:ascii="宋体" w:hAnsi="宋体" w:eastAsia="宋体"/>
          <w:sz w:val="24"/>
          <w:szCs w:val="24"/>
          <w:lang w:val="en-US" w:eastAsia="zh-CN"/>
        </w:rPr>
        <w:t>和FZ/T 07007-2020</w:t>
      </w:r>
      <w:r>
        <w:rPr>
          <w:rFonts w:hint="eastAsia" w:ascii="宋体" w:hAnsi="宋体" w:eastAsia="宋体"/>
          <w:sz w:val="24"/>
          <w:szCs w:val="24"/>
          <w:lang w:val="zh-CN"/>
        </w:rPr>
        <w:t>《</w:t>
      </w:r>
      <w:r>
        <w:rPr>
          <w:rFonts w:hint="eastAsia" w:ascii="宋体" w:hAnsi="宋体" w:eastAsia="宋体"/>
          <w:sz w:val="24"/>
          <w:szCs w:val="24"/>
          <w:lang w:val="en-US" w:eastAsia="zh-CN"/>
        </w:rPr>
        <w:t>染色机水效限定值及水效等级》</w:t>
      </w:r>
    </w:p>
    <w:p>
      <w:pPr>
        <w:widowControl w:val="0"/>
        <w:adjustRightInd/>
        <w:snapToGrid/>
        <w:spacing w:after="0" w:line="440" w:lineRule="exact"/>
        <w:ind w:firstLine="480"/>
        <w:jc w:val="both"/>
        <w:rPr>
          <w:rFonts w:hint="default" w:ascii="宋体" w:hAnsi="宋体" w:eastAsia="宋体"/>
          <w:sz w:val="24"/>
          <w:szCs w:val="24"/>
          <w:lang w:val="en-US" w:eastAsia="zh-CN"/>
        </w:rPr>
      </w:pPr>
      <w:r>
        <w:rPr>
          <w:rFonts w:hint="eastAsia" w:ascii="宋体" w:hAnsi="宋体" w:eastAsia="宋体"/>
          <w:sz w:val="24"/>
          <w:szCs w:val="24"/>
          <w:lang w:val="en-US" w:eastAsia="zh-CN"/>
        </w:rPr>
        <w:t>3.涉及到间歇式染色机的质量要求和技术要求有FZ/T 95023《高温高压筒子纱染色机》、FZ/T 95027《高温高压喷射溢流染色机》、FZ/T 95029《常温常压喷射溢流染色机》、FZ/T 95031《气流染色机》和FZ/T 95035《气液染色机》。。</w:t>
      </w:r>
    </w:p>
    <w:p>
      <w:pPr>
        <w:pStyle w:val="4"/>
        <w:snapToGrid/>
        <w:spacing w:before="0" w:after="0" w:line="360" w:lineRule="auto"/>
        <w:contextualSpacing/>
        <w:rPr>
          <w:rFonts w:hint="eastAsia" w:ascii="黑体" w:hAnsi="黑体" w:eastAsia="黑体"/>
          <w:b w:val="0"/>
          <w:sz w:val="28"/>
          <w:szCs w:val="28"/>
        </w:rPr>
      </w:pPr>
      <w:bookmarkStart w:id="28" w:name="_Toc31815"/>
      <w:bookmarkStart w:id="29" w:name="_Toc18058275"/>
      <w:bookmarkStart w:id="30" w:name="_Toc11076"/>
      <w:r>
        <w:rPr>
          <w:rFonts w:hint="eastAsia" w:ascii="黑体" w:hAnsi="黑体" w:eastAsia="黑体"/>
          <w:b w:val="0"/>
          <w:sz w:val="28"/>
          <w:szCs w:val="28"/>
        </w:rPr>
        <w:t>1.</w:t>
      </w:r>
      <w:bookmarkStart w:id="31" w:name="_Toc479193922"/>
      <w:bookmarkStart w:id="32" w:name="_Toc461960032"/>
      <w:r>
        <w:rPr>
          <w:rFonts w:hint="eastAsia" w:ascii="黑体" w:hAnsi="黑体" w:eastAsia="黑体"/>
          <w:b w:val="0"/>
          <w:sz w:val="28"/>
          <w:szCs w:val="28"/>
          <w:lang w:eastAsia="zh-CN"/>
        </w:rPr>
        <w:t>3.4</w:t>
      </w:r>
      <w:r>
        <w:rPr>
          <w:rFonts w:hint="eastAsia" w:ascii="黑体" w:hAnsi="黑体" w:eastAsia="黑体"/>
          <w:b w:val="0"/>
          <w:sz w:val="28"/>
          <w:szCs w:val="28"/>
        </w:rPr>
        <w:t>工作过程</w:t>
      </w:r>
      <w:bookmarkEnd w:id="28"/>
      <w:bookmarkEnd w:id="29"/>
      <w:bookmarkEnd w:id="30"/>
      <w:bookmarkEnd w:id="31"/>
      <w:bookmarkEnd w:id="32"/>
    </w:p>
    <w:p>
      <w:pPr>
        <w:widowControl w:val="0"/>
        <w:adjustRightInd/>
        <w:snapToGrid/>
        <w:spacing w:after="0" w:line="440" w:lineRule="exact"/>
        <w:ind w:firstLine="480" w:firstLineChars="200"/>
        <w:jc w:val="both"/>
        <w:rPr>
          <w:rFonts w:ascii="宋体" w:hAnsi="宋体" w:eastAsia="宋体"/>
          <w:sz w:val="24"/>
          <w:szCs w:val="24"/>
          <w:lang w:val="zh-CN"/>
        </w:rPr>
      </w:pPr>
      <w:r>
        <w:rPr>
          <w:rFonts w:hint="eastAsia" w:ascii="宋体" w:hAnsi="宋体" w:eastAsia="宋体"/>
          <w:sz w:val="24"/>
          <w:szCs w:val="24"/>
          <w:lang w:val="zh-CN"/>
        </w:rPr>
        <w:t>20</w:t>
      </w:r>
      <w:r>
        <w:rPr>
          <w:rFonts w:hint="eastAsia" w:ascii="宋体" w:hAnsi="宋体" w:eastAsia="宋体"/>
          <w:sz w:val="24"/>
          <w:szCs w:val="24"/>
          <w:lang w:val="en-US" w:eastAsia="zh-CN"/>
        </w:rPr>
        <w:t>23</w:t>
      </w:r>
      <w:r>
        <w:rPr>
          <w:rFonts w:hint="eastAsia" w:ascii="宋体" w:hAnsi="宋体" w:eastAsia="宋体"/>
          <w:sz w:val="24"/>
          <w:szCs w:val="24"/>
          <w:lang w:val="zh-CN"/>
        </w:rPr>
        <w:t>年</w:t>
      </w:r>
      <w:r>
        <w:rPr>
          <w:rFonts w:hint="eastAsia" w:ascii="宋体" w:hAnsi="宋体" w:eastAsia="宋体"/>
          <w:sz w:val="24"/>
          <w:szCs w:val="24"/>
          <w:lang w:val="en-US" w:eastAsia="zh-CN"/>
        </w:rPr>
        <w:t>3</w:t>
      </w:r>
      <w:r>
        <w:rPr>
          <w:rFonts w:hint="eastAsia" w:ascii="宋体" w:hAnsi="宋体" w:eastAsia="宋体"/>
          <w:sz w:val="24"/>
          <w:szCs w:val="24"/>
          <w:lang w:val="zh-CN"/>
        </w:rPr>
        <w:t>月，中国</w:t>
      </w:r>
      <w:r>
        <w:rPr>
          <w:rFonts w:hint="eastAsia" w:ascii="宋体" w:hAnsi="宋体" w:eastAsia="宋体"/>
          <w:sz w:val="24"/>
          <w:szCs w:val="24"/>
          <w:lang w:val="en-US" w:eastAsia="zh-CN"/>
        </w:rPr>
        <w:t>工业节能协</w:t>
      </w:r>
      <w:r>
        <w:rPr>
          <w:rFonts w:ascii="宋体" w:hAnsi="宋体" w:eastAsia="宋体"/>
          <w:sz w:val="24"/>
          <w:szCs w:val="24"/>
          <w:lang w:val="zh-CN"/>
        </w:rPr>
        <w:t>会</w:t>
      </w:r>
      <w:r>
        <w:rPr>
          <w:rFonts w:hint="eastAsia" w:ascii="宋体" w:hAnsi="宋体" w:eastAsia="宋体"/>
          <w:sz w:val="24"/>
          <w:szCs w:val="24"/>
          <w:lang w:val="en-US" w:eastAsia="zh-CN"/>
        </w:rPr>
        <w:t>提出</w:t>
      </w:r>
      <w:r>
        <w:rPr>
          <w:rFonts w:hint="eastAsia" w:ascii="宋体" w:hAnsi="宋体" w:eastAsia="宋体"/>
          <w:sz w:val="24"/>
          <w:szCs w:val="24"/>
          <w:lang w:val="zh-CN"/>
        </w:rPr>
        <w:t>立项。20</w:t>
      </w:r>
      <w:r>
        <w:rPr>
          <w:rFonts w:hint="eastAsia" w:ascii="宋体" w:hAnsi="宋体" w:eastAsia="宋体"/>
          <w:sz w:val="24"/>
          <w:szCs w:val="24"/>
          <w:lang w:val="en-US" w:eastAsia="zh-CN"/>
        </w:rPr>
        <w:t>23</w:t>
      </w:r>
      <w:r>
        <w:rPr>
          <w:rFonts w:hint="eastAsia" w:ascii="宋体" w:hAnsi="宋体" w:eastAsia="宋体"/>
          <w:sz w:val="24"/>
          <w:szCs w:val="24"/>
          <w:lang w:val="zh-CN"/>
        </w:rPr>
        <w:t>年</w:t>
      </w:r>
      <w:r>
        <w:rPr>
          <w:rFonts w:hint="eastAsia" w:ascii="宋体" w:hAnsi="宋体" w:eastAsia="宋体"/>
          <w:sz w:val="24"/>
          <w:szCs w:val="24"/>
          <w:lang w:val="en-US" w:eastAsia="zh-CN"/>
        </w:rPr>
        <w:t>4</w:t>
      </w:r>
      <w:r>
        <w:rPr>
          <w:rFonts w:hint="eastAsia" w:ascii="宋体" w:hAnsi="宋体" w:eastAsia="宋体"/>
          <w:sz w:val="24"/>
          <w:szCs w:val="24"/>
          <w:lang w:val="zh-CN"/>
        </w:rPr>
        <w:t>月</w:t>
      </w:r>
      <w:r>
        <w:rPr>
          <w:rFonts w:ascii="宋体" w:hAnsi="宋体" w:eastAsia="宋体"/>
          <w:sz w:val="24"/>
          <w:szCs w:val="24"/>
          <w:lang w:val="zh-CN"/>
        </w:rPr>
        <w:t>，</w:t>
      </w:r>
      <w:r>
        <w:rPr>
          <w:rFonts w:hint="eastAsia" w:ascii="宋体" w:hAnsi="宋体" w:eastAsia="宋体"/>
          <w:sz w:val="24"/>
          <w:szCs w:val="24"/>
          <w:lang w:val="en-US" w:eastAsia="zh-CN"/>
        </w:rPr>
        <w:t>与主要起草单位签订合同，项目正式启动</w:t>
      </w:r>
      <w:r>
        <w:rPr>
          <w:rFonts w:ascii="宋体" w:hAnsi="宋体" w:eastAsia="宋体"/>
          <w:sz w:val="24"/>
          <w:szCs w:val="24"/>
          <w:lang w:val="zh-CN"/>
        </w:rPr>
        <w:t>。</w:t>
      </w:r>
    </w:p>
    <w:p>
      <w:pPr>
        <w:widowControl w:val="0"/>
        <w:adjustRightInd/>
        <w:snapToGrid/>
        <w:spacing w:after="0" w:line="440" w:lineRule="exact"/>
        <w:ind w:firstLine="480" w:firstLineChars="200"/>
        <w:jc w:val="both"/>
        <w:rPr>
          <w:rFonts w:hint="eastAsia" w:ascii="宋体" w:hAnsi="宋体" w:eastAsia="宋体"/>
          <w:sz w:val="24"/>
          <w:szCs w:val="24"/>
          <w:lang w:val="zh-CN"/>
        </w:rPr>
      </w:pPr>
      <w:r>
        <w:rPr>
          <w:rFonts w:hint="eastAsia" w:ascii="宋体" w:hAnsi="宋体" w:eastAsia="宋体"/>
          <w:sz w:val="24"/>
          <w:szCs w:val="24"/>
          <w:lang w:val="zh-CN"/>
        </w:rPr>
        <w:t>20</w:t>
      </w:r>
      <w:r>
        <w:rPr>
          <w:rFonts w:hint="eastAsia" w:ascii="宋体" w:hAnsi="宋体" w:eastAsia="宋体"/>
          <w:sz w:val="24"/>
          <w:szCs w:val="24"/>
          <w:lang w:val="en-US" w:eastAsia="zh-CN"/>
        </w:rPr>
        <w:t>23</w:t>
      </w:r>
      <w:r>
        <w:rPr>
          <w:rFonts w:hint="eastAsia" w:ascii="宋体" w:hAnsi="宋体" w:eastAsia="宋体"/>
          <w:sz w:val="24"/>
          <w:szCs w:val="24"/>
          <w:lang w:val="zh-CN"/>
        </w:rPr>
        <w:t>年</w:t>
      </w:r>
      <w:r>
        <w:rPr>
          <w:rFonts w:hint="eastAsia" w:ascii="宋体" w:hAnsi="宋体" w:eastAsia="宋体"/>
          <w:sz w:val="24"/>
          <w:szCs w:val="24"/>
          <w:lang w:val="en-US" w:eastAsia="zh-CN"/>
        </w:rPr>
        <w:t>5</w:t>
      </w:r>
      <w:r>
        <w:rPr>
          <w:rFonts w:hint="eastAsia" w:ascii="宋体" w:hAnsi="宋体" w:eastAsia="宋体"/>
          <w:sz w:val="24"/>
          <w:szCs w:val="24"/>
          <w:lang w:val="zh-CN"/>
        </w:rPr>
        <w:t>月，</w:t>
      </w:r>
      <w:r>
        <w:rPr>
          <w:rFonts w:hint="eastAsia" w:ascii="宋体" w:hAnsi="宋体" w:eastAsia="宋体"/>
          <w:sz w:val="24"/>
          <w:szCs w:val="24"/>
          <w:lang w:val="en-US" w:eastAsia="zh-CN"/>
        </w:rPr>
        <w:t>广州弘禹公司联合佛山市清洁生产协会、佛山市纺织工程学会、广东弘禹环保科技有限公司等等单位开始着手收集资料和开展市场调研，并广泛地听取和征求有关染色机生产厂家和印染企业的意见</w:t>
      </w:r>
      <w:r>
        <w:rPr>
          <w:rFonts w:hint="eastAsia" w:ascii="宋体" w:hAnsi="宋体" w:eastAsia="宋体"/>
          <w:sz w:val="24"/>
          <w:szCs w:val="24"/>
          <w:lang w:val="zh-CN"/>
        </w:rPr>
        <w:t>。</w:t>
      </w:r>
    </w:p>
    <w:p>
      <w:pPr>
        <w:widowControl w:val="0"/>
        <w:adjustRightInd/>
        <w:snapToGrid/>
        <w:spacing w:after="0" w:line="440" w:lineRule="exact"/>
        <w:ind w:firstLine="495"/>
        <w:jc w:val="both"/>
        <w:rPr>
          <w:rFonts w:hint="eastAsia" w:ascii="宋体" w:hAnsi="宋体" w:eastAsia="宋体"/>
          <w:sz w:val="24"/>
          <w:szCs w:val="24"/>
          <w:lang w:val="en-US" w:eastAsia="zh-CN"/>
        </w:rPr>
      </w:pPr>
      <w:r>
        <w:rPr>
          <w:rFonts w:hint="eastAsia" w:ascii="宋体" w:hAnsi="宋体" w:eastAsia="宋体"/>
          <w:sz w:val="24"/>
          <w:szCs w:val="24"/>
          <w:lang w:val="zh-CN"/>
        </w:rPr>
        <w:t>20</w:t>
      </w:r>
      <w:r>
        <w:rPr>
          <w:rFonts w:hint="eastAsia" w:ascii="宋体" w:hAnsi="宋体" w:eastAsia="宋体"/>
          <w:sz w:val="24"/>
          <w:szCs w:val="24"/>
          <w:lang w:val="en-US" w:eastAsia="zh-CN"/>
        </w:rPr>
        <w:t>23</w:t>
      </w:r>
      <w:r>
        <w:rPr>
          <w:rFonts w:hint="eastAsia" w:ascii="宋体" w:hAnsi="宋体" w:eastAsia="宋体"/>
          <w:sz w:val="24"/>
          <w:szCs w:val="24"/>
          <w:lang w:val="zh-CN"/>
        </w:rPr>
        <w:t>年</w:t>
      </w:r>
      <w:r>
        <w:rPr>
          <w:rFonts w:ascii="宋体" w:hAnsi="宋体" w:eastAsia="宋体"/>
          <w:sz w:val="24"/>
          <w:szCs w:val="24"/>
          <w:lang w:val="zh-CN"/>
        </w:rPr>
        <w:t>1</w:t>
      </w:r>
      <w:r>
        <w:rPr>
          <w:rFonts w:hint="eastAsia" w:ascii="宋体" w:hAnsi="宋体" w:eastAsia="宋体"/>
          <w:sz w:val="24"/>
          <w:szCs w:val="24"/>
          <w:lang w:val="en-US" w:eastAsia="zh-CN"/>
        </w:rPr>
        <w:t>2</w:t>
      </w:r>
      <w:r>
        <w:rPr>
          <w:rFonts w:hint="eastAsia" w:ascii="宋体" w:hAnsi="宋体" w:eastAsia="宋体"/>
          <w:sz w:val="24"/>
          <w:szCs w:val="24"/>
          <w:lang w:val="zh-CN"/>
        </w:rPr>
        <w:t>月，</w:t>
      </w:r>
      <w:r>
        <w:rPr>
          <w:rFonts w:hint="eastAsia" w:ascii="宋体" w:hAnsi="宋体" w:eastAsia="宋体"/>
          <w:sz w:val="24"/>
          <w:szCs w:val="24"/>
          <w:lang w:val="en-US" w:eastAsia="zh-CN"/>
        </w:rPr>
        <w:t>完成征求意见稿。</w:t>
      </w:r>
    </w:p>
    <w:p>
      <w:pPr>
        <w:widowControl w:val="0"/>
        <w:adjustRightInd/>
        <w:snapToGrid/>
        <w:spacing w:after="0" w:line="440" w:lineRule="exact"/>
        <w:ind w:firstLine="495"/>
        <w:jc w:val="both"/>
        <w:rPr>
          <w:rFonts w:hint="eastAsia" w:ascii="宋体" w:hAnsi="宋体" w:eastAsia="宋体"/>
          <w:sz w:val="24"/>
          <w:szCs w:val="24"/>
          <w:lang w:val="en-US" w:eastAsia="zh-CN"/>
        </w:rPr>
      </w:pPr>
      <w:r>
        <w:rPr>
          <w:rFonts w:hint="eastAsia" w:ascii="宋体" w:hAnsi="宋体" w:eastAsia="宋体"/>
          <w:sz w:val="24"/>
          <w:szCs w:val="24"/>
          <w:lang w:val="en-US" w:eastAsia="zh-CN"/>
        </w:rPr>
        <w:t>预计，在2024年4月前完成。</w:t>
      </w:r>
    </w:p>
    <w:p>
      <w:pPr>
        <w:pStyle w:val="2"/>
        <w:snapToGrid/>
        <w:spacing w:before="0" w:after="0" w:line="360" w:lineRule="auto"/>
        <w:contextualSpacing/>
        <w:rPr>
          <w:rFonts w:hint="eastAsia" w:ascii="黑体" w:hAnsi="黑体" w:eastAsia="黑体"/>
          <w:kern w:val="28"/>
          <w:sz w:val="28"/>
          <w:szCs w:val="28"/>
        </w:rPr>
      </w:pPr>
      <w:bookmarkStart w:id="33" w:name="_Toc479193923"/>
      <w:bookmarkStart w:id="34" w:name="_Toc18058276"/>
      <w:bookmarkStart w:id="35" w:name="_Toc4294"/>
      <w:r>
        <w:rPr>
          <w:rFonts w:ascii="黑体" w:hAnsi="黑体" w:eastAsia="黑体"/>
          <w:kern w:val="28"/>
          <w:sz w:val="28"/>
          <w:szCs w:val="28"/>
        </w:rPr>
        <w:t xml:space="preserve">2  </w:t>
      </w:r>
      <w:r>
        <w:rPr>
          <w:rFonts w:hint="eastAsia" w:ascii="黑体" w:hAnsi="黑体" w:eastAsia="黑体"/>
          <w:kern w:val="28"/>
          <w:sz w:val="28"/>
          <w:szCs w:val="28"/>
        </w:rPr>
        <w:t>影响染色</w:t>
      </w:r>
      <w:bookmarkEnd w:id="33"/>
      <w:r>
        <w:rPr>
          <w:rFonts w:hint="eastAsia" w:ascii="黑体" w:hAnsi="黑体" w:eastAsia="黑体"/>
          <w:kern w:val="28"/>
          <w:sz w:val="28"/>
          <w:szCs w:val="28"/>
          <w:lang w:val="en-US" w:eastAsia="zh-CN"/>
        </w:rPr>
        <w:t>设备</w:t>
      </w:r>
      <w:r>
        <w:rPr>
          <w:rFonts w:hint="eastAsia" w:ascii="黑体" w:hAnsi="黑体" w:eastAsia="黑体"/>
          <w:kern w:val="28"/>
          <w:sz w:val="28"/>
          <w:szCs w:val="28"/>
        </w:rPr>
        <w:t>水耗的因素</w:t>
      </w:r>
      <w:bookmarkEnd w:id="34"/>
      <w:bookmarkEnd w:id="35"/>
    </w:p>
    <w:p>
      <w:pPr>
        <w:widowControl w:val="0"/>
        <w:adjustRightInd/>
        <w:snapToGrid/>
        <w:spacing w:after="0" w:line="440" w:lineRule="exact"/>
        <w:ind w:firstLine="480" w:firstLineChars="200"/>
        <w:jc w:val="both"/>
        <w:rPr>
          <w:rFonts w:hint="eastAsia" w:ascii="宋体" w:hAnsi="宋体" w:eastAsia="宋体"/>
          <w:sz w:val="24"/>
          <w:szCs w:val="24"/>
          <w:lang w:val="zh-CN"/>
        </w:rPr>
      </w:pPr>
      <w:r>
        <w:rPr>
          <w:rFonts w:hint="eastAsia" w:ascii="宋体" w:hAnsi="宋体" w:eastAsia="宋体"/>
          <w:sz w:val="24"/>
          <w:szCs w:val="24"/>
          <w:lang w:val="zh-CN"/>
        </w:rPr>
        <w:t>染色</w:t>
      </w:r>
      <w:r>
        <w:rPr>
          <w:rFonts w:hint="eastAsia" w:ascii="宋体" w:hAnsi="宋体" w:eastAsia="宋体"/>
          <w:sz w:val="24"/>
          <w:szCs w:val="24"/>
          <w:lang w:val="en-US" w:eastAsia="zh-CN"/>
        </w:rPr>
        <w:t>设备</w:t>
      </w:r>
      <w:r>
        <w:rPr>
          <w:rFonts w:hint="eastAsia" w:ascii="宋体" w:hAnsi="宋体" w:eastAsia="宋体"/>
          <w:sz w:val="24"/>
          <w:szCs w:val="24"/>
          <w:lang w:val="zh-CN"/>
        </w:rPr>
        <w:t>的构造、配件以及使用方式等都会影响到染色</w:t>
      </w:r>
      <w:r>
        <w:rPr>
          <w:rFonts w:hint="eastAsia" w:ascii="宋体" w:hAnsi="宋体" w:eastAsia="宋体"/>
          <w:sz w:val="24"/>
          <w:szCs w:val="24"/>
          <w:lang w:val="en-US" w:eastAsia="zh-CN"/>
        </w:rPr>
        <w:t>设备在</w:t>
      </w:r>
      <w:r>
        <w:rPr>
          <w:rFonts w:hint="eastAsia" w:ascii="宋体" w:hAnsi="宋体" w:eastAsia="宋体"/>
          <w:sz w:val="24"/>
          <w:szCs w:val="24"/>
          <w:lang w:val="zh-CN"/>
        </w:rPr>
        <w:t>使用过程中的水的消耗，即染色</w:t>
      </w:r>
      <w:r>
        <w:rPr>
          <w:rFonts w:hint="eastAsia" w:ascii="宋体" w:hAnsi="宋体" w:eastAsia="宋体"/>
          <w:sz w:val="24"/>
          <w:szCs w:val="24"/>
          <w:lang w:val="en-US" w:eastAsia="zh-CN"/>
        </w:rPr>
        <w:t>设备</w:t>
      </w:r>
      <w:r>
        <w:rPr>
          <w:rFonts w:hint="eastAsia" w:ascii="宋体" w:hAnsi="宋体" w:eastAsia="宋体"/>
          <w:sz w:val="24"/>
          <w:szCs w:val="24"/>
          <w:lang w:val="zh-CN"/>
        </w:rPr>
        <w:t>的水耗。</w:t>
      </w:r>
      <w:r>
        <w:rPr>
          <w:rFonts w:hint="eastAsia" w:ascii="宋体" w:hAnsi="宋体" w:eastAsia="宋体"/>
          <w:sz w:val="24"/>
          <w:szCs w:val="24"/>
          <w:lang w:val="en-US" w:eastAsia="zh-CN"/>
        </w:rPr>
        <w:t>若</w:t>
      </w:r>
      <w:r>
        <w:rPr>
          <w:rFonts w:hint="eastAsia" w:ascii="宋体" w:hAnsi="宋体" w:eastAsia="宋体"/>
          <w:sz w:val="24"/>
          <w:szCs w:val="24"/>
          <w:lang w:val="zh-CN"/>
        </w:rPr>
        <w:t>对影响染色</w:t>
      </w:r>
      <w:r>
        <w:rPr>
          <w:rFonts w:hint="eastAsia" w:ascii="宋体" w:hAnsi="宋体" w:eastAsia="宋体"/>
          <w:sz w:val="24"/>
          <w:szCs w:val="24"/>
          <w:lang w:val="en-US" w:eastAsia="zh-CN"/>
        </w:rPr>
        <w:t>设备</w:t>
      </w:r>
      <w:r>
        <w:rPr>
          <w:rFonts w:hint="eastAsia" w:ascii="宋体" w:hAnsi="宋体" w:eastAsia="宋体"/>
          <w:sz w:val="24"/>
          <w:szCs w:val="24"/>
          <w:lang w:val="zh-CN"/>
        </w:rPr>
        <w:t>水耗因素进行分析，</w:t>
      </w:r>
      <w:r>
        <w:rPr>
          <w:rFonts w:hint="eastAsia" w:ascii="宋体" w:hAnsi="宋体" w:eastAsia="宋体"/>
          <w:sz w:val="24"/>
          <w:szCs w:val="24"/>
          <w:lang w:val="en-US" w:eastAsia="zh-CN"/>
        </w:rPr>
        <w:t>将会发现</w:t>
      </w:r>
      <w:r>
        <w:rPr>
          <w:rFonts w:hint="eastAsia" w:ascii="宋体" w:hAnsi="宋体" w:eastAsia="宋体"/>
          <w:sz w:val="24"/>
          <w:szCs w:val="24"/>
          <w:lang w:val="zh-CN"/>
        </w:rPr>
        <w:t>影响染色</w:t>
      </w:r>
      <w:r>
        <w:rPr>
          <w:rFonts w:hint="eastAsia" w:ascii="宋体" w:hAnsi="宋体" w:eastAsia="宋体"/>
          <w:sz w:val="24"/>
          <w:szCs w:val="24"/>
          <w:lang w:val="en-US" w:eastAsia="zh-CN"/>
        </w:rPr>
        <w:t>设备</w:t>
      </w:r>
      <w:r>
        <w:rPr>
          <w:rFonts w:hint="eastAsia" w:ascii="宋体" w:hAnsi="宋体" w:eastAsia="宋体"/>
          <w:sz w:val="24"/>
          <w:szCs w:val="24"/>
          <w:lang w:val="zh-CN"/>
        </w:rPr>
        <w:t>水耗的因素可以分成两个大类，一是与染色</w:t>
      </w:r>
      <w:r>
        <w:rPr>
          <w:rFonts w:hint="eastAsia" w:ascii="宋体" w:hAnsi="宋体" w:eastAsia="宋体"/>
          <w:sz w:val="24"/>
          <w:szCs w:val="24"/>
          <w:lang w:val="en-US" w:eastAsia="zh-CN"/>
        </w:rPr>
        <w:t>设备</w:t>
      </w:r>
      <w:r>
        <w:rPr>
          <w:rFonts w:hint="eastAsia" w:ascii="宋体" w:hAnsi="宋体" w:eastAsia="宋体"/>
          <w:sz w:val="24"/>
          <w:szCs w:val="24"/>
          <w:lang w:val="zh-CN"/>
        </w:rPr>
        <w:t>设计和生产</w:t>
      </w:r>
      <w:r>
        <w:rPr>
          <w:rFonts w:hint="eastAsia" w:ascii="宋体" w:hAnsi="宋体" w:eastAsia="宋体"/>
          <w:sz w:val="24"/>
          <w:szCs w:val="24"/>
          <w:lang w:val="en-US" w:eastAsia="zh-CN"/>
        </w:rPr>
        <w:t>的</w:t>
      </w:r>
      <w:r>
        <w:rPr>
          <w:rFonts w:hint="eastAsia" w:ascii="宋体" w:hAnsi="宋体" w:eastAsia="宋体"/>
          <w:sz w:val="24"/>
          <w:szCs w:val="24"/>
          <w:lang w:val="zh-CN"/>
        </w:rPr>
        <w:t>有关影响，二是染色</w:t>
      </w:r>
      <w:r>
        <w:rPr>
          <w:rFonts w:hint="eastAsia" w:ascii="宋体" w:hAnsi="宋体" w:eastAsia="宋体"/>
          <w:sz w:val="24"/>
          <w:szCs w:val="24"/>
          <w:lang w:val="en-US" w:eastAsia="zh-CN"/>
        </w:rPr>
        <w:t>设备</w:t>
      </w:r>
      <w:r>
        <w:rPr>
          <w:rFonts w:hint="eastAsia" w:ascii="宋体" w:hAnsi="宋体" w:eastAsia="宋体"/>
          <w:sz w:val="24"/>
          <w:szCs w:val="24"/>
          <w:lang w:val="zh-CN"/>
        </w:rPr>
        <w:t>实际使用过程有关的因素。</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36" w:name="_Toc18058277"/>
      <w:bookmarkStart w:id="37" w:name="_Toc11195"/>
      <w:r>
        <w:rPr>
          <w:rFonts w:hint="eastAsia" w:ascii="黑体" w:hAnsi="黑体" w:eastAsia="黑体"/>
          <w:i w:val="0"/>
          <w:lang w:val="en-US" w:eastAsia="zh-CN"/>
        </w:rPr>
        <w:t>2.1与设计和制造相关的因素</w:t>
      </w:r>
      <w:bookmarkEnd w:id="36"/>
      <w:bookmarkEnd w:id="37"/>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染色</w:t>
      </w:r>
      <w:r>
        <w:rPr>
          <w:rFonts w:hint="eastAsia" w:ascii="宋体" w:hAnsi="宋体" w:eastAsia="宋体"/>
          <w:sz w:val="24"/>
          <w:szCs w:val="24"/>
          <w:lang w:val="en-US" w:eastAsia="zh-CN"/>
        </w:rPr>
        <w:t>设备</w:t>
      </w:r>
      <w:r>
        <w:rPr>
          <w:rFonts w:hint="eastAsia" w:ascii="宋体" w:hAnsi="宋体" w:eastAsia="宋体"/>
          <w:sz w:val="24"/>
          <w:szCs w:val="24"/>
        </w:rPr>
        <w:t>设计和制造过程中</w:t>
      </w:r>
      <w:r>
        <w:rPr>
          <w:rFonts w:hint="eastAsia" w:ascii="宋体" w:hAnsi="宋体" w:eastAsia="宋体"/>
          <w:sz w:val="24"/>
          <w:szCs w:val="24"/>
          <w:lang w:eastAsia="zh-CN"/>
        </w:rPr>
        <w:t>，</w:t>
      </w:r>
      <w:r>
        <w:rPr>
          <w:rFonts w:hint="eastAsia" w:ascii="宋体" w:hAnsi="宋体" w:eastAsia="宋体"/>
          <w:sz w:val="24"/>
          <w:szCs w:val="24"/>
        </w:rPr>
        <w:t>影响</w:t>
      </w:r>
      <w:r>
        <w:rPr>
          <w:rFonts w:hint="eastAsia" w:ascii="宋体" w:hAnsi="宋体" w:eastAsia="宋体"/>
          <w:sz w:val="24"/>
          <w:szCs w:val="24"/>
          <w:lang w:val="en-US" w:eastAsia="zh-CN"/>
        </w:rPr>
        <w:t>染色设备</w:t>
      </w:r>
      <w:r>
        <w:rPr>
          <w:rFonts w:hint="eastAsia" w:ascii="宋体" w:hAnsi="宋体" w:eastAsia="宋体"/>
          <w:sz w:val="24"/>
          <w:szCs w:val="24"/>
        </w:rPr>
        <w:t>水耗的因素有：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rPr>
      </w:pPr>
      <w:bookmarkStart w:id="38" w:name="_Toc4339"/>
      <w:r>
        <w:rPr>
          <w:rFonts w:hint="eastAsia" w:ascii="黑体" w:hAnsi="黑体" w:eastAsia="黑体" w:cs="黑体"/>
          <w:sz w:val="24"/>
          <w:szCs w:val="24"/>
          <w:lang w:val="en-US" w:eastAsia="zh-CN"/>
        </w:rPr>
        <w:t>1.</w:t>
      </w:r>
      <w:r>
        <w:rPr>
          <w:rFonts w:hint="eastAsia" w:ascii="黑体" w:hAnsi="黑体" w:eastAsia="黑体" w:cs="黑体"/>
          <w:sz w:val="24"/>
          <w:szCs w:val="24"/>
          <w:lang w:val="zh-CN"/>
        </w:rPr>
        <w:t>染色</w:t>
      </w:r>
      <w:r>
        <w:rPr>
          <w:rFonts w:hint="eastAsia" w:ascii="黑体" w:hAnsi="黑体" w:eastAsia="黑体" w:cs="黑体"/>
          <w:sz w:val="24"/>
          <w:szCs w:val="24"/>
          <w:lang w:val="en-US" w:eastAsia="zh-CN"/>
        </w:rPr>
        <w:t>设备的</w:t>
      </w:r>
      <w:r>
        <w:rPr>
          <w:rFonts w:hint="eastAsia" w:ascii="黑体" w:hAnsi="黑体" w:eastAsia="黑体" w:cs="黑体"/>
          <w:sz w:val="24"/>
          <w:szCs w:val="24"/>
          <w:lang w:val="zh-CN"/>
        </w:rPr>
        <w:t>构造</w:t>
      </w:r>
      <w:bookmarkEnd w:id="38"/>
    </w:p>
    <w:p>
      <w:pPr>
        <w:widowControl w:val="0"/>
        <w:adjustRightInd/>
        <w:snapToGrid/>
        <w:spacing w:after="0" w:line="440" w:lineRule="exact"/>
        <w:ind w:firstLine="480" w:firstLineChars="200"/>
        <w:jc w:val="both"/>
        <w:rPr>
          <w:rFonts w:hint="eastAsia" w:ascii="宋体" w:hAnsi="宋体" w:eastAsia="宋体"/>
          <w:sz w:val="24"/>
          <w:szCs w:val="24"/>
          <w:lang w:val="zh-CN"/>
        </w:rPr>
      </w:pPr>
      <w:r>
        <w:rPr>
          <w:rFonts w:hint="eastAsia" w:ascii="宋体" w:hAnsi="宋体" w:eastAsia="宋体"/>
          <w:sz w:val="24"/>
          <w:szCs w:val="24"/>
        </w:rPr>
        <w:t>染色</w:t>
      </w:r>
      <w:r>
        <w:rPr>
          <w:rFonts w:hint="eastAsia" w:ascii="宋体" w:hAnsi="宋体" w:eastAsia="宋体"/>
          <w:sz w:val="24"/>
          <w:szCs w:val="24"/>
          <w:lang w:val="en-US" w:eastAsia="zh-CN"/>
        </w:rPr>
        <w:t>设备的</w:t>
      </w:r>
      <w:r>
        <w:rPr>
          <w:rFonts w:hint="eastAsia" w:ascii="宋体" w:hAnsi="宋体" w:eastAsia="宋体"/>
          <w:sz w:val="24"/>
          <w:szCs w:val="24"/>
        </w:rPr>
        <w:t>构造设计关系到染色</w:t>
      </w:r>
      <w:r>
        <w:rPr>
          <w:rFonts w:hint="eastAsia" w:ascii="宋体" w:hAnsi="宋体" w:eastAsia="宋体"/>
          <w:sz w:val="24"/>
          <w:szCs w:val="24"/>
          <w:lang w:val="en-US" w:eastAsia="zh-CN"/>
        </w:rPr>
        <w:t>设备</w:t>
      </w:r>
      <w:r>
        <w:rPr>
          <w:rFonts w:hint="eastAsia" w:ascii="宋体" w:hAnsi="宋体" w:eastAsia="宋体"/>
          <w:sz w:val="24"/>
          <w:szCs w:val="24"/>
        </w:rPr>
        <w:t>内水量运行和分布</w:t>
      </w:r>
      <w:r>
        <w:rPr>
          <w:rFonts w:hint="eastAsia" w:ascii="宋体" w:hAnsi="宋体" w:eastAsia="宋体"/>
          <w:sz w:val="24"/>
          <w:szCs w:val="24"/>
          <w:lang w:val="en-US" w:eastAsia="zh-CN"/>
        </w:rPr>
        <w:t>以及蒸汽耗量</w:t>
      </w:r>
      <w:r>
        <w:rPr>
          <w:rFonts w:hint="eastAsia" w:ascii="宋体" w:hAnsi="宋体" w:eastAsia="宋体"/>
          <w:sz w:val="24"/>
          <w:szCs w:val="24"/>
        </w:rPr>
        <w:t>。</w:t>
      </w:r>
      <w:r>
        <w:rPr>
          <w:rFonts w:hint="eastAsia" w:ascii="宋体" w:hAnsi="宋体" w:eastAsia="宋体"/>
          <w:sz w:val="24"/>
          <w:szCs w:val="24"/>
          <w:lang w:val="en-US" w:eastAsia="zh-CN"/>
        </w:rPr>
        <w:t>对于间歇式染色机</w:t>
      </w:r>
      <w:r>
        <w:rPr>
          <w:rFonts w:hint="eastAsia" w:ascii="宋体" w:hAnsi="宋体" w:eastAsia="宋体"/>
          <w:sz w:val="24"/>
          <w:szCs w:val="24"/>
        </w:rPr>
        <w:t>，染色机水管的口径、热交换器的位置</w:t>
      </w:r>
      <w:r>
        <w:rPr>
          <w:rFonts w:hint="eastAsia" w:ascii="宋体" w:hAnsi="宋体" w:eastAsia="宋体"/>
          <w:sz w:val="24"/>
          <w:szCs w:val="24"/>
          <w:lang w:eastAsia="zh-CN"/>
        </w:rPr>
        <w:t>、</w:t>
      </w:r>
      <w:r>
        <w:rPr>
          <w:rFonts w:hint="eastAsia" w:ascii="宋体" w:hAnsi="宋体" w:eastAsia="宋体"/>
          <w:sz w:val="24"/>
          <w:szCs w:val="24"/>
          <w:lang w:val="en-US" w:eastAsia="zh-CN"/>
        </w:rPr>
        <w:t>导布管的布局</w:t>
      </w:r>
      <w:r>
        <w:rPr>
          <w:rFonts w:hint="eastAsia" w:ascii="宋体" w:hAnsi="宋体" w:eastAsia="宋体"/>
          <w:sz w:val="24"/>
          <w:szCs w:val="24"/>
        </w:rPr>
        <w:t>等等，</w:t>
      </w:r>
      <w:r>
        <w:rPr>
          <w:rFonts w:hint="eastAsia" w:ascii="宋体" w:hAnsi="宋体" w:eastAsia="宋体"/>
          <w:sz w:val="24"/>
          <w:szCs w:val="24"/>
          <w:lang w:val="en-US" w:eastAsia="zh-CN"/>
        </w:rPr>
        <w:t>都与</w:t>
      </w:r>
      <w:r>
        <w:rPr>
          <w:rFonts w:hint="eastAsia" w:ascii="宋体" w:hAnsi="宋体" w:eastAsia="宋体"/>
          <w:sz w:val="24"/>
          <w:szCs w:val="24"/>
        </w:rPr>
        <w:t>染色机所需最</w:t>
      </w:r>
      <w:r>
        <w:rPr>
          <w:rFonts w:hint="eastAsia" w:ascii="宋体" w:hAnsi="宋体" w:eastAsia="宋体"/>
          <w:sz w:val="24"/>
          <w:szCs w:val="24"/>
          <w:lang w:val="en-US" w:eastAsia="zh-CN"/>
        </w:rPr>
        <w:t>小</w:t>
      </w:r>
      <w:r>
        <w:rPr>
          <w:rFonts w:hint="eastAsia" w:ascii="宋体" w:hAnsi="宋体" w:eastAsia="宋体"/>
          <w:sz w:val="24"/>
          <w:szCs w:val="24"/>
        </w:rPr>
        <w:t>水量有着直接的关系</w:t>
      </w:r>
      <w:r>
        <w:rPr>
          <w:rFonts w:hint="eastAsia" w:ascii="宋体" w:hAnsi="宋体" w:eastAsia="宋体"/>
          <w:sz w:val="24"/>
          <w:szCs w:val="24"/>
          <w:lang w:eastAsia="zh-CN"/>
        </w:rPr>
        <w:t>；</w:t>
      </w:r>
      <w:r>
        <w:rPr>
          <w:rFonts w:hint="eastAsia" w:ascii="宋体" w:hAnsi="宋体" w:eastAsia="宋体"/>
          <w:sz w:val="24"/>
          <w:szCs w:val="24"/>
          <w:lang w:val="en-US" w:eastAsia="zh-CN"/>
        </w:rPr>
        <w:t>在连续染色机中，蒸箱的大小、蒸箱进布口和出布口的密封、水洗槽的大小以及水洗槽的水面的液位高低等等，都与轧染机的耗水量有关</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eastAsia="zh-CN"/>
        </w:rPr>
      </w:pPr>
      <w:bookmarkStart w:id="39" w:name="_Toc13428"/>
      <w:r>
        <w:rPr>
          <w:rFonts w:hint="eastAsia" w:ascii="黑体" w:hAnsi="黑体" w:eastAsia="黑体" w:cs="黑体"/>
          <w:sz w:val="24"/>
          <w:szCs w:val="24"/>
          <w:lang w:val="en-US" w:eastAsia="zh-CN"/>
        </w:rPr>
        <w:t>2.间歇式</w:t>
      </w:r>
      <w:r>
        <w:rPr>
          <w:rFonts w:hint="eastAsia" w:ascii="黑体" w:hAnsi="黑体" w:eastAsia="黑体" w:cs="黑体"/>
          <w:sz w:val="24"/>
          <w:szCs w:val="24"/>
          <w:lang w:val="zh-CN" w:eastAsia="zh-CN"/>
        </w:rPr>
        <w:t>染色机</w:t>
      </w:r>
      <w:r>
        <w:rPr>
          <w:rFonts w:hint="eastAsia" w:ascii="黑体" w:hAnsi="黑体" w:eastAsia="黑体" w:cs="黑体"/>
          <w:sz w:val="24"/>
          <w:szCs w:val="24"/>
          <w:lang w:val="en-US" w:eastAsia="zh-CN"/>
        </w:rPr>
        <w:t>的</w:t>
      </w:r>
      <w:r>
        <w:rPr>
          <w:rFonts w:hint="eastAsia" w:ascii="黑体" w:hAnsi="黑体" w:eastAsia="黑体" w:cs="黑体"/>
          <w:sz w:val="24"/>
          <w:szCs w:val="24"/>
          <w:lang w:val="zh-CN" w:eastAsia="zh-CN"/>
        </w:rPr>
        <w:t>浴比</w:t>
      </w:r>
      <w:bookmarkEnd w:id="39"/>
    </w:p>
    <w:p>
      <w:pPr>
        <w:widowControl w:val="0"/>
        <w:adjustRightInd/>
        <w:snapToGrid/>
        <w:spacing w:after="0" w:line="440" w:lineRule="exact"/>
        <w:ind w:firstLine="480" w:firstLineChars="200"/>
        <w:jc w:val="both"/>
        <w:rPr>
          <w:rFonts w:hint="eastAsia" w:ascii="宋体" w:hAnsi="宋体" w:eastAsia="宋体"/>
          <w:sz w:val="24"/>
          <w:szCs w:val="24"/>
          <w:highlight w:val="none"/>
        </w:rPr>
      </w:pPr>
      <w:r>
        <w:rPr>
          <w:rFonts w:hint="eastAsia" w:ascii="宋体" w:hAnsi="宋体" w:eastAsia="宋体"/>
          <w:sz w:val="24"/>
          <w:szCs w:val="24"/>
          <w:highlight w:val="none"/>
        </w:rPr>
        <w:t>严格地说，</w:t>
      </w:r>
      <w:r>
        <w:rPr>
          <w:rFonts w:hint="eastAsia" w:ascii="宋体" w:hAnsi="宋体" w:eastAsia="宋体"/>
          <w:sz w:val="24"/>
          <w:szCs w:val="24"/>
          <w:highlight w:val="none"/>
          <w:lang w:val="en-US" w:eastAsia="zh-CN"/>
        </w:rPr>
        <w:t>间歇式</w:t>
      </w:r>
      <w:r>
        <w:rPr>
          <w:rFonts w:hint="eastAsia" w:ascii="宋体" w:hAnsi="宋体" w:eastAsia="宋体"/>
          <w:sz w:val="24"/>
          <w:szCs w:val="24"/>
          <w:highlight w:val="none"/>
        </w:rPr>
        <w:t>染色机的浴比是属于染色机设计和制造的范畴。</w:t>
      </w:r>
      <w:r>
        <w:rPr>
          <w:rFonts w:hint="eastAsia" w:ascii="宋体" w:hAnsi="宋体" w:eastAsia="宋体"/>
          <w:sz w:val="24"/>
          <w:szCs w:val="24"/>
          <w:highlight w:val="none"/>
          <w:lang w:val="en-US" w:eastAsia="zh-CN"/>
        </w:rPr>
        <w:t>由于间歇式</w:t>
      </w:r>
      <w:r>
        <w:rPr>
          <w:rFonts w:hint="eastAsia" w:ascii="宋体" w:hAnsi="宋体" w:eastAsia="宋体"/>
          <w:sz w:val="24"/>
          <w:szCs w:val="24"/>
          <w:highlight w:val="none"/>
        </w:rPr>
        <w:t>染色机的浴比</w:t>
      </w:r>
      <w:r>
        <w:rPr>
          <w:rFonts w:hint="eastAsia" w:ascii="宋体" w:hAnsi="宋体" w:eastAsia="宋体"/>
          <w:sz w:val="24"/>
          <w:szCs w:val="24"/>
          <w:highlight w:val="none"/>
          <w:lang w:val="en-US" w:eastAsia="zh-CN"/>
        </w:rPr>
        <w:t>与</w:t>
      </w:r>
      <w:r>
        <w:rPr>
          <w:rFonts w:hint="eastAsia" w:ascii="宋体" w:hAnsi="宋体" w:eastAsia="宋体"/>
          <w:sz w:val="24"/>
          <w:szCs w:val="24"/>
          <w:highlight w:val="none"/>
        </w:rPr>
        <w:t>染色过程水耗关系</w:t>
      </w:r>
      <w:r>
        <w:rPr>
          <w:rFonts w:hint="eastAsia" w:ascii="宋体" w:hAnsi="宋体" w:eastAsia="宋体"/>
          <w:sz w:val="24"/>
          <w:szCs w:val="24"/>
          <w:highlight w:val="none"/>
          <w:lang w:val="en-US" w:eastAsia="zh-CN"/>
        </w:rPr>
        <w:t>十分密切，影响十分直观</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所以，</w:t>
      </w:r>
      <w:r>
        <w:rPr>
          <w:rFonts w:hint="eastAsia" w:ascii="宋体" w:hAnsi="宋体" w:eastAsia="宋体"/>
          <w:sz w:val="24"/>
          <w:szCs w:val="24"/>
          <w:highlight w:val="none"/>
        </w:rPr>
        <w:t>将</w:t>
      </w:r>
      <w:r>
        <w:rPr>
          <w:rFonts w:hint="eastAsia" w:ascii="宋体" w:hAnsi="宋体" w:eastAsia="宋体"/>
          <w:sz w:val="24"/>
          <w:szCs w:val="24"/>
          <w:highlight w:val="none"/>
          <w:lang w:val="en-US" w:eastAsia="zh-CN"/>
        </w:rPr>
        <w:t>间歇式染色机的</w:t>
      </w:r>
      <w:r>
        <w:rPr>
          <w:rFonts w:hint="eastAsia" w:ascii="宋体" w:hAnsi="宋体" w:eastAsia="宋体"/>
          <w:sz w:val="24"/>
          <w:szCs w:val="24"/>
          <w:highlight w:val="none"/>
        </w:rPr>
        <w:t>染色浴比作为独立的因素进行分析。浴比越大，染色生产过程的水耗量越大。而染色浴比的大小与染色机的构造有着紧密的关系。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黑体" w:hAnsi="黑体" w:eastAsia="黑体" w:cs="黑体"/>
          <w:sz w:val="24"/>
          <w:szCs w:val="24"/>
          <w:lang w:val="en-US" w:eastAsia="zh-CN"/>
        </w:rPr>
      </w:pPr>
      <w:bookmarkStart w:id="40" w:name="_Toc5512"/>
      <w:r>
        <w:rPr>
          <w:rFonts w:hint="eastAsia" w:ascii="黑体" w:hAnsi="黑体" w:eastAsia="黑体" w:cs="黑体"/>
          <w:sz w:val="24"/>
          <w:szCs w:val="24"/>
          <w:lang w:val="en-US" w:eastAsia="zh-CN"/>
        </w:rPr>
        <w:t>3.间歇式</w:t>
      </w:r>
      <w:r>
        <w:rPr>
          <w:rFonts w:hint="eastAsia" w:ascii="黑体" w:hAnsi="黑体" w:eastAsia="黑体" w:cs="黑体"/>
          <w:sz w:val="24"/>
          <w:szCs w:val="24"/>
          <w:lang w:val="zh-CN" w:eastAsia="zh-CN"/>
        </w:rPr>
        <w:t>染色机带</w:t>
      </w:r>
      <w:r>
        <w:rPr>
          <w:rFonts w:hint="eastAsia" w:ascii="黑体" w:hAnsi="黑体" w:eastAsia="黑体" w:cs="黑体"/>
          <w:sz w:val="24"/>
          <w:szCs w:val="24"/>
          <w:lang w:val="en-US" w:eastAsia="zh-CN"/>
        </w:rPr>
        <w:t>动染</w:t>
      </w:r>
      <w:r>
        <w:rPr>
          <w:rFonts w:hint="eastAsia" w:ascii="黑体" w:hAnsi="黑体" w:eastAsia="黑体" w:cs="黑体"/>
          <w:sz w:val="24"/>
          <w:szCs w:val="24"/>
          <w:lang w:val="zh-CN" w:eastAsia="zh-CN"/>
        </w:rPr>
        <w:t>物的</w:t>
      </w:r>
      <w:bookmarkEnd w:id="40"/>
      <w:r>
        <w:rPr>
          <w:rFonts w:hint="eastAsia" w:ascii="黑体" w:hAnsi="黑体" w:eastAsia="黑体" w:cs="黑体"/>
          <w:sz w:val="24"/>
          <w:szCs w:val="24"/>
          <w:lang w:val="en-US" w:eastAsia="zh-CN"/>
        </w:rPr>
        <w:t>方式</w:t>
      </w:r>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染物运动为主的</w:t>
      </w:r>
      <w:r>
        <w:rPr>
          <w:rFonts w:hint="eastAsia" w:ascii="宋体" w:hAnsi="宋体" w:eastAsia="宋体"/>
          <w:sz w:val="24"/>
          <w:szCs w:val="24"/>
          <w:lang w:val="en-US" w:eastAsia="zh-CN"/>
        </w:rPr>
        <w:t>间歇式</w:t>
      </w:r>
      <w:r>
        <w:rPr>
          <w:rFonts w:hint="eastAsia" w:ascii="宋体" w:hAnsi="宋体" w:eastAsia="宋体"/>
          <w:sz w:val="24"/>
          <w:szCs w:val="24"/>
        </w:rPr>
        <w:t>染色机，带动</w:t>
      </w:r>
      <w:r>
        <w:rPr>
          <w:rFonts w:hint="eastAsia" w:ascii="宋体" w:hAnsi="宋体" w:eastAsia="宋体"/>
          <w:sz w:val="24"/>
          <w:szCs w:val="24"/>
          <w:lang w:val="en-US" w:eastAsia="zh-CN"/>
        </w:rPr>
        <w:t>染</w:t>
      </w:r>
      <w:r>
        <w:rPr>
          <w:rFonts w:hint="eastAsia" w:ascii="宋体" w:hAnsi="宋体" w:eastAsia="宋体"/>
          <w:sz w:val="24"/>
          <w:szCs w:val="24"/>
        </w:rPr>
        <w:t>物运动的介质对水耗有着直接的影响</w:t>
      </w:r>
      <w:r>
        <w:rPr>
          <w:rFonts w:hint="eastAsia" w:ascii="宋体" w:hAnsi="宋体" w:eastAsia="宋体"/>
          <w:sz w:val="24"/>
          <w:szCs w:val="24"/>
          <w:lang w:eastAsia="zh-CN"/>
        </w:rPr>
        <w:t>。</w:t>
      </w:r>
      <w:r>
        <w:rPr>
          <w:rFonts w:hint="eastAsia" w:ascii="宋体" w:hAnsi="宋体" w:eastAsia="宋体"/>
          <w:sz w:val="24"/>
          <w:szCs w:val="24"/>
        </w:rPr>
        <w:t>例如，以水带动</w:t>
      </w:r>
      <w:r>
        <w:rPr>
          <w:rFonts w:hint="eastAsia" w:ascii="宋体" w:hAnsi="宋体" w:eastAsia="宋体"/>
          <w:sz w:val="24"/>
          <w:szCs w:val="24"/>
          <w:lang w:val="en-US" w:eastAsia="zh-CN"/>
        </w:rPr>
        <w:t>染</w:t>
      </w:r>
      <w:r>
        <w:rPr>
          <w:rFonts w:hint="eastAsia" w:ascii="宋体" w:hAnsi="宋体" w:eastAsia="宋体"/>
          <w:sz w:val="24"/>
          <w:szCs w:val="24"/>
        </w:rPr>
        <w:t>物运动的</w:t>
      </w:r>
      <w:r>
        <w:rPr>
          <w:rFonts w:hint="eastAsia" w:ascii="宋体" w:hAnsi="宋体" w:eastAsia="宋体"/>
          <w:sz w:val="24"/>
          <w:szCs w:val="24"/>
          <w:lang w:val="en-US" w:eastAsia="zh-CN"/>
        </w:rPr>
        <w:t>间歇式</w:t>
      </w:r>
      <w:r>
        <w:rPr>
          <w:rFonts w:hint="eastAsia" w:ascii="宋体" w:hAnsi="宋体" w:eastAsia="宋体"/>
          <w:sz w:val="24"/>
          <w:szCs w:val="24"/>
        </w:rPr>
        <w:t>染色机</w:t>
      </w:r>
      <w:r>
        <w:rPr>
          <w:rFonts w:hint="eastAsia" w:ascii="宋体" w:hAnsi="宋体" w:eastAsia="宋体"/>
          <w:sz w:val="24"/>
          <w:szCs w:val="24"/>
          <w:lang w:eastAsia="zh-CN"/>
        </w:rPr>
        <w:t>，</w:t>
      </w:r>
      <w:r>
        <w:rPr>
          <w:rFonts w:hint="eastAsia" w:ascii="宋体" w:hAnsi="宋体" w:eastAsia="宋体"/>
          <w:sz w:val="24"/>
          <w:szCs w:val="24"/>
        </w:rPr>
        <w:t>耗水量较大</w:t>
      </w:r>
      <w:r>
        <w:rPr>
          <w:rFonts w:hint="eastAsia" w:ascii="宋体" w:hAnsi="宋体" w:eastAsia="宋体"/>
          <w:sz w:val="24"/>
          <w:szCs w:val="24"/>
          <w:lang w:eastAsia="zh-CN"/>
        </w:rPr>
        <w:t>；</w:t>
      </w:r>
      <w:r>
        <w:rPr>
          <w:rFonts w:hint="eastAsia" w:ascii="宋体" w:hAnsi="宋体" w:eastAsia="宋体"/>
          <w:sz w:val="24"/>
          <w:szCs w:val="24"/>
        </w:rPr>
        <w:t>以气带动</w:t>
      </w:r>
      <w:r>
        <w:rPr>
          <w:rFonts w:hint="eastAsia" w:ascii="宋体" w:hAnsi="宋体" w:eastAsia="宋体"/>
          <w:sz w:val="24"/>
          <w:szCs w:val="24"/>
          <w:lang w:val="en-US" w:eastAsia="zh-CN"/>
        </w:rPr>
        <w:t>染</w:t>
      </w:r>
      <w:r>
        <w:rPr>
          <w:rFonts w:hint="eastAsia" w:ascii="宋体" w:hAnsi="宋体" w:eastAsia="宋体"/>
          <w:sz w:val="24"/>
          <w:szCs w:val="24"/>
        </w:rPr>
        <w:t>物运动的</w:t>
      </w:r>
      <w:r>
        <w:rPr>
          <w:rFonts w:hint="eastAsia" w:ascii="宋体" w:hAnsi="宋体" w:eastAsia="宋体"/>
          <w:sz w:val="24"/>
          <w:szCs w:val="24"/>
          <w:lang w:val="en-US" w:eastAsia="zh-CN"/>
        </w:rPr>
        <w:t>间歇式</w:t>
      </w:r>
      <w:r>
        <w:rPr>
          <w:rFonts w:hint="eastAsia" w:ascii="宋体" w:hAnsi="宋体" w:eastAsia="宋体"/>
          <w:sz w:val="24"/>
          <w:szCs w:val="24"/>
        </w:rPr>
        <w:t>染色机</w:t>
      </w:r>
      <w:r>
        <w:rPr>
          <w:rFonts w:hint="eastAsia" w:ascii="宋体" w:hAnsi="宋体" w:eastAsia="宋体"/>
          <w:sz w:val="24"/>
          <w:szCs w:val="24"/>
          <w:lang w:eastAsia="zh-CN"/>
        </w:rPr>
        <w:t>，</w:t>
      </w:r>
      <w:r>
        <w:rPr>
          <w:rFonts w:hint="eastAsia" w:ascii="宋体" w:hAnsi="宋体" w:eastAsia="宋体"/>
          <w:sz w:val="24"/>
          <w:szCs w:val="24"/>
          <w:lang w:val="en-US" w:eastAsia="zh-CN"/>
        </w:rPr>
        <w:t>其</w:t>
      </w:r>
      <w:r>
        <w:rPr>
          <w:rFonts w:hint="eastAsia" w:ascii="宋体" w:hAnsi="宋体" w:eastAsia="宋体"/>
          <w:sz w:val="24"/>
          <w:szCs w:val="24"/>
        </w:rPr>
        <w:t>耗水量较小。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eastAsia="zh-CN"/>
        </w:rPr>
      </w:pPr>
      <w:bookmarkStart w:id="41" w:name="_Toc21175"/>
      <w:r>
        <w:rPr>
          <w:rFonts w:hint="eastAsia" w:ascii="黑体" w:hAnsi="黑体" w:eastAsia="黑体" w:cs="黑体"/>
          <w:sz w:val="24"/>
          <w:szCs w:val="24"/>
          <w:lang w:val="en-US" w:eastAsia="zh-CN"/>
        </w:rPr>
        <w:t>4.</w:t>
      </w:r>
      <w:r>
        <w:rPr>
          <w:rFonts w:hint="eastAsia" w:ascii="黑体" w:hAnsi="黑体" w:eastAsia="黑体" w:cs="黑体"/>
          <w:sz w:val="24"/>
          <w:szCs w:val="24"/>
          <w:lang w:val="zh-CN" w:eastAsia="zh-CN"/>
        </w:rPr>
        <w:t>染色</w:t>
      </w:r>
      <w:r>
        <w:rPr>
          <w:rFonts w:hint="eastAsia" w:ascii="黑体" w:hAnsi="黑体" w:eastAsia="黑体" w:cs="黑体"/>
          <w:sz w:val="24"/>
          <w:szCs w:val="24"/>
          <w:lang w:val="en-US" w:eastAsia="zh-CN"/>
        </w:rPr>
        <w:t>设备</w:t>
      </w:r>
      <w:r>
        <w:rPr>
          <w:rFonts w:hint="eastAsia" w:ascii="黑体" w:hAnsi="黑体" w:eastAsia="黑体" w:cs="黑体"/>
          <w:sz w:val="24"/>
          <w:szCs w:val="24"/>
          <w:lang w:val="zh-CN" w:eastAsia="zh-CN"/>
        </w:rPr>
        <w:t>的主要配件</w:t>
      </w:r>
      <w:bookmarkEnd w:id="41"/>
    </w:p>
    <w:p>
      <w:pPr>
        <w:widowControl w:val="0"/>
        <w:adjustRightInd/>
        <w:snapToGrid/>
        <w:spacing w:after="0" w:line="440" w:lineRule="exact"/>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间歇式</w:t>
      </w:r>
      <w:r>
        <w:rPr>
          <w:rFonts w:hint="eastAsia" w:ascii="宋体" w:hAnsi="宋体" w:eastAsia="宋体"/>
          <w:sz w:val="24"/>
          <w:szCs w:val="24"/>
        </w:rPr>
        <w:t>染色机的主要配件</w:t>
      </w:r>
      <w:r>
        <w:rPr>
          <w:rFonts w:hint="eastAsia" w:ascii="宋体" w:hAnsi="宋体" w:eastAsia="宋体"/>
          <w:sz w:val="24"/>
          <w:szCs w:val="24"/>
          <w:lang w:val="en-US" w:eastAsia="zh-CN"/>
        </w:rPr>
        <w:t>有</w:t>
      </w:r>
      <w:r>
        <w:rPr>
          <w:rFonts w:hint="eastAsia" w:ascii="宋体" w:hAnsi="宋体" w:eastAsia="宋体"/>
          <w:sz w:val="24"/>
          <w:szCs w:val="24"/>
        </w:rPr>
        <w:t>水泵、热交换器以及喷嘴等等。不同的水泵在启动时所需要的水量不同，导致耗水量的差异；热交换器的大小直接影响染色机所需要的水量；染色机喷嘴以及喷出压力会影响水洗的效果，进而影响水耗。</w:t>
      </w:r>
      <w:r>
        <w:rPr>
          <w:rFonts w:hint="eastAsia" w:ascii="宋体" w:hAnsi="宋体" w:eastAsia="宋体"/>
          <w:sz w:val="24"/>
          <w:szCs w:val="24"/>
          <w:lang w:val="en-US" w:eastAsia="zh-CN"/>
        </w:rPr>
        <w:t>对于轧染机的烘筒等配件，对耗水量的大小也有着影响。例如，夹层烘桶的耗汽量小于一般的烘桶。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eastAsia="zh-CN"/>
        </w:rPr>
      </w:pPr>
      <w:bookmarkStart w:id="42" w:name="_Toc28762"/>
      <w:r>
        <w:rPr>
          <w:rFonts w:hint="eastAsia" w:ascii="黑体" w:hAnsi="黑体" w:eastAsia="黑体" w:cs="黑体"/>
          <w:sz w:val="24"/>
          <w:szCs w:val="24"/>
          <w:lang w:val="en-US" w:eastAsia="zh-CN"/>
        </w:rPr>
        <w:t>5.</w:t>
      </w:r>
      <w:r>
        <w:rPr>
          <w:rFonts w:hint="eastAsia" w:ascii="黑体" w:hAnsi="黑体" w:eastAsia="黑体" w:cs="黑体"/>
          <w:sz w:val="24"/>
          <w:szCs w:val="24"/>
          <w:lang w:val="zh-CN" w:eastAsia="zh-CN"/>
        </w:rPr>
        <w:t>染色</w:t>
      </w:r>
      <w:r>
        <w:rPr>
          <w:rFonts w:hint="eastAsia" w:ascii="黑体" w:hAnsi="黑体" w:eastAsia="黑体" w:cs="黑体"/>
          <w:sz w:val="24"/>
          <w:szCs w:val="24"/>
          <w:lang w:val="en-US" w:eastAsia="zh-CN"/>
        </w:rPr>
        <w:t>设备</w:t>
      </w:r>
      <w:r>
        <w:rPr>
          <w:rFonts w:hint="eastAsia" w:ascii="黑体" w:hAnsi="黑体" w:eastAsia="黑体" w:cs="黑体"/>
          <w:sz w:val="24"/>
          <w:szCs w:val="24"/>
          <w:lang w:val="zh-CN" w:eastAsia="zh-CN"/>
        </w:rPr>
        <w:t>的密封性</w:t>
      </w:r>
      <w:bookmarkEnd w:id="42"/>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对于大多数染色</w:t>
      </w:r>
      <w:r>
        <w:rPr>
          <w:rFonts w:hint="eastAsia" w:ascii="宋体" w:hAnsi="宋体" w:eastAsia="宋体"/>
          <w:sz w:val="24"/>
          <w:szCs w:val="24"/>
          <w:lang w:val="en-US" w:eastAsia="zh-CN"/>
        </w:rPr>
        <w:t>设备</w:t>
      </w:r>
      <w:r>
        <w:rPr>
          <w:rFonts w:hint="eastAsia" w:ascii="宋体" w:hAnsi="宋体" w:eastAsia="宋体"/>
          <w:sz w:val="24"/>
          <w:szCs w:val="24"/>
        </w:rPr>
        <w:t>而言，密封性能是很好，尤其是在新设备的时候，不会出现蒸汽和水泄漏的现象。然而，随着使用的</w:t>
      </w:r>
      <w:r>
        <w:rPr>
          <w:rFonts w:hint="eastAsia" w:ascii="宋体" w:hAnsi="宋体" w:eastAsia="宋体"/>
          <w:sz w:val="24"/>
          <w:szCs w:val="24"/>
          <w:lang w:val="en-US" w:eastAsia="zh-CN"/>
        </w:rPr>
        <w:t>年限的</w:t>
      </w:r>
      <w:r>
        <w:rPr>
          <w:rFonts w:hint="eastAsia" w:ascii="宋体" w:hAnsi="宋体" w:eastAsia="宋体"/>
          <w:sz w:val="24"/>
          <w:szCs w:val="24"/>
        </w:rPr>
        <w:t>增加，染色</w:t>
      </w:r>
      <w:r>
        <w:rPr>
          <w:rFonts w:hint="eastAsia" w:ascii="宋体" w:hAnsi="宋体" w:eastAsia="宋体"/>
          <w:sz w:val="24"/>
          <w:szCs w:val="24"/>
          <w:lang w:val="en-US" w:eastAsia="zh-CN"/>
        </w:rPr>
        <w:t>设备的</w:t>
      </w:r>
      <w:r>
        <w:rPr>
          <w:rFonts w:hint="eastAsia" w:ascii="宋体" w:hAnsi="宋体" w:eastAsia="宋体"/>
          <w:sz w:val="24"/>
          <w:szCs w:val="24"/>
        </w:rPr>
        <w:t>部分密封件会损坏，导致蒸汽和水的泄漏，增加水的消耗。</w:t>
      </w:r>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以上因素是不同类型、不同厂家、不同种类以及不同规格的染色</w:t>
      </w:r>
      <w:r>
        <w:rPr>
          <w:rFonts w:hint="eastAsia" w:ascii="宋体" w:hAnsi="宋体" w:eastAsia="宋体"/>
          <w:sz w:val="24"/>
          <w:szCs w:val="24"/>
          <w:lang w:val="en-US" w:eastAsia="zh-CN"/>
        </w:rPr>
        <w:t>设备</w:t>
      </w:r>
      <w:r>
        <w:rPr>
          <w:rFonts w:hint="eastAsia" w:ascii="宋体" w:hAnsi="宋体" w:eastAsia="宋体"/>
          <w:sz w:val="24"/>
          <w:szCs w:val="24"/>
        </w:rPr>
        <w:t>产生的水效差异的根本原因。通过制定</w:t>
      </w:r>
      <w:r>
        <w:rPr>
          <w:rFonts w:hint="eastAsia" w:ascii="宋体" w:hAnsi="宋体" w:eastAsia="宋体"/>
          <w:sz w:val="24"/>
          <w:szCs w:val="24"/>
          <w:lang w:val="en-US" w:eastAsia="zh-CN"/>
        </w:rPr>
        <w:t>与</w:t>
      </w:r>
      <w:r>
        <w:rPr>
          <w:rFonts w:hint="eastAsia" w:ascii="宋体" w:hAnsi="宋体" w:eastAsia="宋体"/>
          <w:sz w:val="24"/>
          <w:szCs w:val="24"/>
        </w:rPr>
        <w:t>染色</w:t>
      </w:r>
      <w:r>
        <w:rPr>
          <w:rFonts w:hint="eastAsia" w:ascii="宋体" w:hAnsi="宋体" w:eastAsia="宋体"/>
          <w:sz w:val="24"/>
          <w:szCs w:val="24"/>
          <w:lang w:val="en-US" w:eastAsia="zh-CN"/>
        </w:rPr>
        <w:t>设备</w:t>
      </w:r>
      <w:r>
        <w:rPr>
          <w:rFonts w:hint="eastAsia" w:ascii="宋体" w:hAnsi="宋体" w:eastAsia="宋体"/>
          <w:sz w:val="24"/>
          <w:szCs w:val="24"/>
        </w:rPr>
        <w:t>水效</w:t>
      </w:r>
      <w:r>
        <w:rPr>
          <w:rFonts w:hint="eastAsia" w:ascii="宋体" w:hAnsi="宋体" w:eastAsia="宋体"/>
          <w:sz w:val="24"/>
          <w:szCs w:val="24"/>
          <w:lang w:val="en-US" w:eastAsia="zh-CN"/>
        </w:rPr>
        <w:t>有关的</w:t>
      </w:r>
      <w:r>
        <w:rPr>
          <w:rFonts w:hint="eastAsia" w:ascii="宋体" w:hAnsi="宋体" w:eastAsia="宋体"/>
          <w:sz w:val="24"/>
          <w:szCs w:val="24"/>
        </w:rPr>
        <w:t>标准</w:t>
      </w:r>
      <w:r>
        <w:rPr>
          <w:rFonts w:hint="eastAsia" w:ascii="宋体" w:hAnsi="宋体" w:eastAsia="宋体"/>
          <w:sz w:val="24"/>
          <w:szCs w:val="24"/>
          <w:lang w:eastAsia="zh-CN"/>
        </w:rPr>
        <w:t>，</w:t>
      </w:r>
      <w:r>
        <w:rPr>
          <w:rFonts w:hint="eastAsia" w:ascii="宋体" w:hAnsi="宋体" w:eastAsia="宋体"/>
          <w:sz w:val="24"/>
          <w:szCs w:val="24"/>
          <w:lang w:val="en-US" w:eastAsia="zh-CN"/>
        </w:rPr>
        <w:t>是</w:t>
      </w:r>
      <w:r>
        <w:rPr>
          <w:rFonts w:hint="eastAsia" w:ascii="宋体" w:hAnsi="宋体" w:eastAsia="宋体"/>
          <w:sz w:val="24"/>
          <w:szCs w:val="24"/>
        </w:rPr>
        <w:t>有利于促进染色</w:t>
      </w:r>
      <w:r>
        <w:rPr>
          <w:rFonts w:hint="eastAsia" w:ascii="宋体" w:hAnsi="宋体" w:eastAsia="宋体"/>
          <w:sz w:val="24"/>
          <w:szCs w:val="24"/>
          <w:lang w:val="en-US" w:eastAsia="zh-CN"/>
        </w:rPr>
        <w:t>设备</w:t>
      </w:r>
      <w:r>
        <w:rPr>
          <w:rFonts w:hint="eastAsia" w:ascii="宋体" w:hAnsi="宋体" w:eastAsia="宋体"/>
          <w:sz w:val="24"/>
          <w:szCs w:val="24"/>
        </w:rPr>
        <w:t>生产企业在不断地改进和提高。</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43" w:name="_Toc18058278"/>
      <w:bookmarkStart w:id="44" w:name="_Toc1950"/>
      <w:r>
        <w:rPr>
          <w:rFonts w:hint="eastAsia" w:ascii="黑体" w:hAnsi="黑体" w:eastAsia="黑体"/>
          <w:i w:val="0"/>
          <w:lang w:val="en-US" w:eastAsia="zh-CN"/>
        </w:rPr>
        <w:t>2.2与生产过程相关的因素</w:t>
      </w:r>
      <w:bookmarkEnd w:id="43"/>
      <w:bookmarkEnd w:id="44"/>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染色</w:t>
      </w:r>
      <w:r>
        <w:rPr>
          <w:rFonts w:hint="eastAsia" w:ascii="宋体" w:hAnsi="宋体" w:eastAsia="宋体"/>
          <w:sz w:val="24"/>
          <w:szCs w:val="24"/>
          <w:lang w:val="en-US" w:eastAsia="zh-CN"/>
        </w:rPr>
        <w:t>设备</w:t>
      </w:r>
      <w:r>
        <w:rPr>
          <w:rFonts w:hint="eastAsia" w:ascii="宋体" w:hAnsi="宋体" w:eastAsia="宋体"/>
          <w:sz w:val="24"/>
          <w:szCs w:val="24"/>
        </w:rPr>
        <w:t>在生产过程的水耗不仅与染色机的设计和制造有关，还与染色机使用过程有关。主要有：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eastAsia="zh-CN"/>
        </w:rPr>
      </w:pPr>
      <w:bookmarkStart w:id="45" w:name="_Toc31347"/>
      <w:r>
        <w:rPr>
          <w:rFonts w:hint="eastAsia" w:ascii="黑体" w:hAnsi="黑体" w:eastAsia="黑体" w:cs="黑体"/>
          <w:sz w:val="24"/>
          <w:szCs w:val="24"/>
          <w:lang w:val="en-US" w:eastAsia="zh-CN"/>
        </w:rPr>
        <w:t>1.</w:t>
      </w:r>
      <w:r>
        <w:rPr>
          <w:rFonts w:hint="eastAsia" w:ascii="黑体" w:hAnsi="黑体" w:eastAsia="黑体" w:cs="黑体"/>
          <w:sz w:val="24"/>
          <w:szCs w:val="24"/>
          <w:lang w:val="zh-CN" w:eastAsia="zh-CN"/>
        </w:rPr>
        <w:t>染色生产工艺</w:t>
      </w:r>
      <w:bookmarkEnd w:id="45"/>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染色生产工艺的影响包括染化助剂的选择、生产工艺曲线的实行等等。工艺设计好，染色时出现的问题少，成果率高，总的水耗就少；工艺设计合理，染色后水洗次数少，耗水量少。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eastAsia="zh-CN"/>
        </w:rPr>
      </w:pPr>
      <w:bookmarkStart w:id="46" w:name="_Toc29536"/>
      <w:r>
        <w:rPr>
          <w:rFonts w:hint="eastAsia" w:ascii="黑体" w:hAnsi="黑体" w:eastAsia="黑体" w:cs="黑体"/>
          <w:sz w:val="24"/>
          <w:szCs w:val="24"/>
          <w:lang w:val="en-US" w:eastAsia="zh-CN"/>
        </w:rPr>
        <w:t>2.</w:t>
      </w:r>
      <w:r>
        <w:rPr>
          <w:rFonts w:hint="eastAsia" w:ascii="黑体" w:hAnsi="黑体" w:eastAsia="黑体" w:cs="黑体"/>
          <w:sz w:val="24"/>
          <w:szCs w:val="24"/>
          <w:lang w:val="zh-CN" w:eastAsia="zh-CN"/>
        </w:rPr>
        <w:t>水洗方式</w:t>
      </w:r>
      <w:bookmarkEnd w:id="46"/>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在染色生产过程中耗水量最大的是织物染后水洗。</w:t>
      </w:r>
      <w:r>
        <w:rPr>
          <w:rFonts w:hint="eastAsia" w:ascii="宋体" w:hAnsi="宋体" w:eastAsia="宋体"/>
          <w:sz w:val="24"/>
          <w:szCs w:val="24"/>
          <w:lang w:val="en-US" w:eastAsia="zh-CN"/>
        </w:rPr>
        <w:t>在一定的条件下</w:t>
      </w:r>
      <w:r>
        <w:rPr>
          <w:rFonts w:hint="eastAsia" w:ascii="宋体" w:hAnsi="宋体" w:eastAsia="宋体"/>
          <w:sz w:val="24"/>
          <w:szCs w:val="24"/>
        </w:rPr>
        <w:t>，染后水洗方式决定了</w:t>
      </w:r>
      <w:r>
        <w:rPr>
          <w:rFonts w:hint="eastAsia" w:ascii="宋体" w:hAnsi="宋体" w:eastAsia="宋体"/>
          <w:sz w:val="24"/>
          <w:szCs w:val="24"/>
          <w:lang w:val="en-US" w:eastAsia="zh-CN"/>
        </w:rPr>
        <w:t>染色的</w:t>
      </w:r>
      <w:r>
        <w:rPr>
          <w:rFonts w:hint="eastAsia" w:ascii="宋体" w:hAnsi="宋体" w:eastAsia="宋体"/>
          <w:sz w:val="24"/>
          <w:szCs w:val="24"/>
        </w:rPr>
        <w:t>耗水量</w:t>
      </w:r>
      <w:r>
        <w:rPr>
          <w:rFonts w:hint="eastAsia" w:ascii="宋体" w:hAnsi="宋体" w:eastAsia="宋体"/>
          <w:sz w:val="24"/>
          <w:szCs w:val="24"/>
          <w:lang w:eastAsia="zh-CN"/>
        </w:rPr>
        <w:t>，</w:t>
      </w:r>
      <w:r>
        <w:rPr>
          <w:rFonts w:hint="eastAsia" w:ascii="宋体" w:hAnsi="宋体" w:eastAsia="宋体"/>
          <w:sz w:val="24"/>
          <w:szCs w:val="24"/>
          <w:lang w:val="en-US" w:eastAsia="zh-CN"/>
        </w:rPr>
        <w:t>直观上</w:t>
      </w:r>
      <w:r>
        <w:rPr>
          <w:rFonts w:hint="eastAsia" w:ascii="宋体" w:hAnsi="宋体" w:eastAsia="宋体"/>
          <w:sz w:val="24"/>
          <w:szCs w:val="24"/>
        </w:rPr>
        <w:t>表现</w:t>
      </w:r>
      <w:r>
        <w:rPr>
          <w:rFonts w:hint="eastAsia" w:ascii="宋体" w:hAnsi="宋体" w:eastAsia="宋体"/>
          <w:sz w:val="24"/>
          <w:szCs w:val="24"/>
          <w:lang w:val="en-US" w:eastAsia="zh-CN"/>
        </w:rPr>
        <w:t>为</w:t>
      </w:r>
      <w:r>
        <w:rPr>
          <w:rFonts w:hint="eastAsia" w:ascii="宋体" w:hAnsi="宋体" w:eastAsia="宋体"/>
          <w:sz w:val="24"/>
          <w:szCs w:val="24"/>
        </w:rPr>
        <w:t>染色</w:t>
      </w:r>
      <w:r>
        <w:rPr>
          <w:rFonts w:hint="eastAsia" w:ascii="宋体" w:hAnsi="宋体" w:eastAsia="宋体"/>
          <w:sz w:val="24"/>
          <w:szCs w:val="24"/>
          <w:lang w:val="en-US" w:eastAsia="zh-CN"/>
        </w:rPr>
        <w:t>设备</w:t>
      </w:r>
      <w:r>
        <w:rPr>
          <w:rFonts w:hint="eastAsia" w:ascii="宋体" w:hAnsi="宋体" w:eastAsia="宋体"/>
          <w:sz w:val="24"/>
          <w:szCs w:val="24"/>
        </w:rPr>
        <w:t>的水效差异。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zh-CN" w:eastAsia="zh-CN"/>
        </w:rPr>
      </w:pPr>
      <w:bookmarkStart w:id="47" w:name="_Toc25178"/>
      <w:r>
        <w:rPr>
          <w:rFonts w:hint="eastAsia" w:ascii="黑体" w:hAnsi="黑体" w:eastAsia="黑体" w:cs="黑体"/>
          <w:sz w:val="24"/>
          <w:szCs w:val="24"/>
          <w:lang w:val="en-US" w:eastAsia="zh-CN"/>
        </w:rPr>
        <w:t>3.</w:t>
      </w:r>
      <w:r>
        <w:rPr>
          <w:rFonts w:hint="eastAsia" w:ascii="黑体" w:hAnsi="黑体" w:eastAsia="黑体" w:cs="黑体"/>
          <w:sz w:val="24"/>
          <w:szCs w:val="24"/>
          <w:lang w:val="zh-CN" w:eastAsia="zh-CN"/>
        </w:rPr>
        <w:t>员工操作</w:t>
      </w:r>
      <w:bookmarkEnd w:id="47"/>
    </w:p>
    <w:p>
      <w:pPr>
        <w:widowControl w:val="0"/>
        <w:adjustRightInd/>
        <w:snapToGrid/>
        <w:spacing w:after="0" w:line="440" w:lineRule="exact"/>
        <w:ind w:firstLine="480" w:firstLineChars="200"/>
        <w:jc w:val="both"/>
        <w:rPr>
          <w:rFonts w:hint="eastAsia" w:ascii="宋体" w:hAnsi="宋体" w:eastAsia="宋体"/>
          <w:sz w:val="24"/>
          <w:szCs w:val="24"/>
        </w:rPr>
      </w:pPr>
      <w:r>
        <w:rPr>
          <w:rFonts w:hint="eastAsia" w:ascii="宋体" w:hAnsi="宋体" w:eastAsia="宋体"/>
          <w:sz w:val="24"/>
          <w:szCs w:val="24"/>
        </w:rPr>
        <w:t>员工操作是否规范，也是影响染色生产水耗的重要因素，而且是一个无规律的变化。与生产过程相关的影响因素是无法量化的因素，也是在测定染色</w:t>
      </w:r>
      <w:r>
        <w:rPr>
          <w:rFonts w:hint="eastAsia" w:ascii="宋体" w:hAnsi="宋体" w:eastAsia="宋体"/>
          <w:sz w:val="24"/>
          <w:szCs w:val="24"/>
          <w:lang w:val="en-US" w:eastAsia="zh-CN"/>
        </w:rPr>
        <w:t>设备</w:t>
      </w:r>
      <w:r>
        <w:rPr>
          <w:rFonts w:hint="eastAsia" w:ascii="宋体" w:hAnsi="宋体" w:eastAsia="宋体"/>
          <w:sz w:val="24"/>
          <w:szCs w:val="24"/>
        </w:rPr>
        <w:t>水效时变化最无常的因素。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黑体" w:hAnsi="黑体" w:eastAsia="黑体" w:cs="黑体"/>
          <w:sz w:val="24"/>
          <w:szCs w:val="24"/>
          <w:lang w:val="en-US" w:eastAsia="zh-CN"/>
        </w:rPr>
      </w:pPr>
      <w:bookmarkStart w:id="48" w:name="_Toc23514"/>
      <w:r>
        <w:rPr>
          <w:rFonts w:hint="eastAsia" w:ascii="黑体" w:hAnsi="黑体" w:eastAsia="黑体" w:cs="黑体"/>
          <w:sz w:val="24"/>
          <w:szCs w:val="24"/>
          <w:lang w:val="en-US" w:eastAsia="zh-CN"/>
        </w:rPr>
        <w:t>4.生产计划安排</w:t>
      </w:r>
      <w:bookmarkEnd w:id="48"/>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当生产计划合理，可以减少染色设备的清洗次数，可以直接减少生产的耗水量。相反将增大生产的耗水量。</w:t>
      </w:r>
    </w:p>
    <w:p>
      <w:pPr>
        <w:pStyle w:val="2"/>
        <w:snapToGrid/>
        <w:spacing w:before="0" w:after="0" w:line="360" w:lineRule="auto"/>
        <w:contextualSpacing/>
        <w:rPr>
          <w:rFonts w:hint="eastAsia" w:ascii="黑体" w:hAnsi="黑体" w:eastAsia="黑体"/>
          <w:kern w:val="28"/>
          <w:sz w:val="28"/>
          <w:szCs w:val="28"/>
          <w:lang w:eastAsia="zh-CN"/>
        </w:rPr>
      </w:pPr>
      <w:bookmarkStart w:id="49" w:name="_Toc479193937"/>
      <w:bookmarkStart w:id="50" w:name="_Toc18058279"/>
      <w:bookmarkStart w:id="51" w:name="_Toc33"/>
      <w:r>
        <w:rPr>
          <w:rFonts w:hint="eastAsia" w:ascii="黑体" w:hAnsi="黑体" w:eastAsia="黑体"/>
          <w:kern w:val="28"/>
          <w:sz w:val="28"/>
          <w:szCs w:val="28"/>
        </w:rPr>
        <w:t>3</w:t>
      </w:r>
      <w:r>
        <w:rPr>
          <w:rFonts w:ascii="黑体" w:hAnsi="黑体" w:eastAsia="黑体"/>
          <w:kern w:val="28"/>
          <w:sz w:val="28"/>
          <w:szCs w:val="28"/>
        </w:rPr>
        <w:t xml:space="preserve">  标准的</w:t>
      </w:r>
      <w:bookmarkEnd w:id="49"/>
      <w:r>
        <w:rPr>
          <w:rFonts w:hint="eastAsia" w:ascii="黑体" w:hAnsi="黑体" w:eastAsia="黑体"/>
          <w:kern w:val="28"/>
          <w:sz w:val="28"/>
          <w:szCs w:val="28"/>
          <w:lang w:eastAsia="zh-CN"/>
        </w:rPr>
        <w:t>内容</w:t>
      </w:r>
      <w:bookmarkEnd w:id="50"/>
      <w:bookmarkEnd w:id="51"/>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52" w:name="_Toc31431"/>
      <w:bookmarkStart w:id="53" w:name="_Toc408908263"/>
      <w:bookmarkStart w:id="54" w:name="_Toc479193938"/>
      <w:bookmarkStart w:id="55" w:name="_Toc18058280"/>
      <w:r>
        <w:rPr>
          <w:rFonts w:hint="eastAsia" w:ascii="黑体" w:hAnsi="黑体" w:eastAsia="黑体"/>
          <w:i w:val="0"/>
          <w:lang w:eastAsia="zh-CN"/>
        </w:rPr>
        <w:t>3</w:t>
      </w:r>
      <w:r>
        <w:rPr>
          <w:rFonts w:ascii="黑体" w:hAnsi="黑体" w:eastAsia="黑体"/>
          <w:i w:val="0"/>
          <w:lang w:eastAsia="zh-CN"/>
        </w:rPr>
        <w:t>.1</w:t>
      </w:r>
      <w:r>
        <w:rPr>
          <w:rFonts w:hint="eastAsia" w:ascii="黑体" w:hAnsi="黑体" w:eastAsia="黑体"/>
          <w:i w:val="0"/>
          <w:lang w:val="en-US" w:eastAsia="zh-CN"/>
        </w:rPr>
        <w:t>需要说明的问题</w:t>
      </w:r>
      <w:bookmarkEnd w:id="52"/>
    </w:p>
    <w:p>
      <w:pPr>
        <w:pStyle w:val="4"/>
        <w:snapToGrid/>
        <w:spacing w:before="0" w:after="0" w:line="360" w:lineRule="auto"/>
        <w:contextualSpacing/>
        <w:rPr>
          <w:rFonts w:hint="eastAsia" w:ascii="宋体" w:hAnsi="宋体" w:eastAsia="宋体"/>
          <w:sz w:val="24"/>
          <w:szCs w:val="24"/>
          <w:lang w:val="en-US" w:eastAsia="zh-CN"/>
        </w:rPr>
      </w:pPr>
      <w:bookmarkStart w:id="56" w:name="_Toc1074"/>
      <w:r>
        <w:rPr>
          <w:rFonts w:hint="eastAsia" w:ascii="黑体" w:hAnsi="黑体" w:eastAsia="黑体"/>
          <w:b w:val="0"/>
          <w:sz w:val="28"/>
          <w:szCs w:val="28"/>
          <w:lang w:val="en-US" w:eastAsia="zh-CN"/>
        </w:rPr>
        <w:t>3.1.1用水量</w:t>
      </w:r>
      <w:bookmarkEnd w:id="56"/>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GB/T 21534-2021《节约用水 术语》中规定：“用水量：用水单位的取水量与重复利用水量之和。”在本标准中，用水量的定义与国家标准的定义有差异。《节约用水 术语》中的用水量强调的是水的来源；而本标准是从水的用途来描述用水量。染色设备的用水量包括了冷却水（直接冷却和间接冷却）、工艺用水以及蒸汽。</w:t>
      </w:r>
    </w:p>
    <w:p>
      <w:pPr>
        <w:pStyle w:val="4"/>
        <w:snapToGrid/>
        <w:spacing w:before="0" w:after="0" w:line="360" w:lineRule="auto"/>
        <w:contextualSpacing/>
        <w:rPr>
          <w:rFonts w:hint="default" w:ascii="宋体" w:hAnsi="宋体" w:eastAsia="宋体"/>
          <w:sz w:val="24"/>
          <w:szCs w:val="24"/>
          <w:lang w:val="en-US" w:eastAsia="zh-CN"/>
        </w:rPr>
      </w:pPr>
      <w:bookmarkStart w:id="57" w:name="_Toc18952"/>
      <w:r>
        <w:rPr>
          <w:rFonts w:hint="eastAsia" w:ascii="黑体" w:hAnsi="黑体" w:eastAsia="黑体"/>
          <w:b w:val="0"/>
          <w:sz w:val="28"/>
          <w:szCs w:val="28"/>
          <w:lang w:val="en-US" w:eastAsia="zh-CN"/>
        </w:rPr>
        <w:t>3.1.2耗水量</w:t>
      </w:r>
      <w:bookmarkEnd w:id="57"/>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GB/T 21534-2021《节约用水 术语》中规定：“耗水量：在生产经营活动中，以各种形式消耗和损耗而不能回归到地表水体或地下含水层的水量。”从该定义中可以看到，在实际工作中，耗水量是很难测定的。因此，在本标准中，染色设备的耗水量是用用水量来替代的。</w:t>
      </w:r>
    </w:p>
    <w:p>
      <w:pPr>
        <w:pStyle w:val="4"/>
        <w:snapToGrid/>
        <w:spacing w:before="0" w:after="0" w:line="360" w:lineRule="auto"/>
        <w:contextualSpacing/>
        <w:rPr>
          <w:rFonts w:hint="default" w:ascii="宋体" w:hAnsi="宋体" w:eastAsia="宋体"/>
          <w:sz w:val="24"/>
          <w:szCs w:val="24"/>
          <w:lang w:val="en-US" w:eastAsia="zh-CN"/>
        </w:rPr>
      </w:pPr>
      <w:bookmarkStart w:id="58" w:name="_Toc10163"/>
      <w:r>
        <w:rPr>
          <w:rFonts w:hint="eastAsia" w:ascii="黑体" w:hAnsi="黑体" w:eastAsia="黑体"/>
          <w:b w:val="0"/>
          <w:sz w:val="28"/>
          <w:szCs w:val="28"/>
          <w:lang w:val="en-US" w:eastAsia="zh-CN"/>
        </w:rPr>
        <w:t>3.1.3染色</w:t>
      </w:r>
      <w:bookmarkEnd w:id="58"/>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在本文件中提到的染色，不仅仅是染色的一个过程，而是在待测染色设备中生产的全过程。对于间歇式染色机，是指在待测定染色机内完成的所有工序，包括前处理、前处理水洗、染色、染色后水洗、固色和其他的后处理；对于连续式染色机，是指在该机上完成的所有工序，包括轧液、预烘干、汽蒸、水洗和烘干等等工序。但不包括在连续染色机外完成的工序，例如，退煮漂、丝光等等。</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eastAsia="zh-CN"/>
        </w:rPr>
      </w:pPr>
      <w:bookmarkStart w:id="59" w:name="_Toc16605"/>
      <w:r>
        <w:rPr>
          <w:rFonts w:hint="eastAsia" w:ascii="黑体" w:hAnsi="黑体" w:eastAsia="黑体"/>
          <w:i w:val="0"/>
          <w:lang w:val="en-US" w:eastAsia="zh-CN"/>
        </w:rPr>
        <w:t>3.2</w:t>
      </w:r>
      <w:r>
        <w:rPr>
          <w:rFonts w:hint="eastAsia" w:ascii="黑体" w:hAnsi="黑体" w:eastAsia="黑体"/>
          <w:i w:val="0"/>
          <w:lang w:eastAsia="zh-CN"/>
        </w:rPr>
        <w:t>适用范围</w:t>
      </w:r>
      <w:bookmarkEnd w:id="53"/>
      <w:bookmarkEnd w:id="54"/>
      <w:bookmarkEnd w:id="55"/>
      <w:bookmarkEnd w:id="59"/>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本文件规定了染色设备耗水性能测试方法和工作流程。</w:t>
      </w: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本文件适用于染色设备生产企业或使用企业测试耗水性能。浆染联合生产线和束染生产线可参考。</w:t>
      </w:r>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在本文件中的染色设备包含间歇式染色机、连续式染色机、浆染联合生产线和束状染色机等类型。</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60" w:name="_Toc24525"/>
      <w:r>
        <w:rPr>
          <w:rFonts w:hint="eastAsia" w:ascii="黑体" w:hAnsi="黑体" w:eastAsia="黑体"/>
          <w:i w:val="0"/>
          <w:lang w:val="en-US" w:eastAsia="zh-CN"/>
        </w:rPr>
        <w:t>3.3技术要求</w:t>
      </w:r>
      <w:bookmarkEnd w:id="60"/>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本文件对待测试的染色设备提出的质量要求和水效的要求。</w:t>
      </w:r>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在该小节中对耗水性能的表示方式做出的规定。</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61" w:name="_Toc228"/>
      <w:r>
        <w:rPr>
          <w:rFonts w:hint="eastAsia" w:ascii="黑体" w:hAnsi="黑体" w:eastAsia="黑体"/>
          <w:i w:val="0"/>
          <w:lang w:val="en-US" w:eastAsia="zh-CN"/>
        </w:rPr>
        <w:t>3.4用水量</w:t>
      </w:r>
      <w:bookmarkEnd w:id="61"/>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在本小节中，规定了用水量的范围。由于用水量包括了各种水质的水量和各种压力温度的蒸汽，在该小节中，分别对水量的计量和蒸汽的计量提出了要求。</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62" w:name="_Toc11354"/>
      <w:r>
        <w:rPr>
          <w:rFonts w:hint="eastAsia" w:ascii="黑体" w:hAnsi="黑体" w:eastAsia="黑体"/>
          <w:i w:val="0"/>
          <w:lang w:val="en-US" w:eastAsia="zh-CN"/>
        </w:rPr>
        <w:t>3.5合格产品产量</w:t>
      </w:r>
      <w:bookmarkEnd w:id="62"/>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在本小节中，规定了合格产品产量的范围和计量方法。在此，强调了产量的统计是以产品产量，而不是以原料的量。</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63" w:name="_Toc1027"/>
      <w:bookmarkStart w:id="64" w:name="_Toc9338"/>
      <w:r>
        <w:rPr>
          <w:rFonts w:hint="eastAsia" w:ascii="黑体" w:hAnsi="黑体" w:eastAsia="黑体"/>
          <w:i w:val="0"/>
          <w:lang w:val="en-US" w:eastAsia="zh-CN"/>
        </w:rPr>
        <w:t>3.6耗水性能表示</w:t>
      </w:r>
      <w:bookmarkEnd w:id="63"/>
      <w:bookmarkEnd w:id="64"/>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耗水性能是用单位产品立方米、百米布立方米以及百米纱线立方米表示。在本小节中给出了单位产品用水量、百米布用水量和百米纱线用水量的计算公式。</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65" w:name="_Toc6274"/>
      <w:r>
        <w:rPr>
          <w:rFonts w:hint="eastAsia" w:ascii="黑体" w:hAnsi="黑体" w:eastAsia="黑体"/>
          <w:i w:val="0"/>
          <w:lang w:val="en-US" w:eastAsia="zh-CN"/>
        </w:rPr>
        <w:t>3.7工作流程</w:t>
      </w:r>
      <w:bookmarkEnd w:id="65"/>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在给出测试工作流程之前，现提出了基本要求。基本要求的重点是对测试人员的要求以及测试条件的前置条件。</w:t>
      </w: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本文件给出了测试的工作流程有测试前准备、测试和数据整理等三个阶段。每个阶段工作都有一定的具体要求和规定。</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eastAsia" w:ascii="黑体" w:hAnsi="黑体" w:eastAsia="黑体"/>
          <w:i w:val="0"/>
          <w:lang w:val="en-US" w:eastAsia="zh-CN"/>
        </w:rPr>
      </w:pPr>
      <w:bookmarkStart w:id="66" w:name="_Toc863"/>
      <w:r>
        <w:rPr>
          <w:rFonts w:hint="eastAsia" w:ascii="黑体" w:hAnsi="黑体" w:eastAsia="黑体"/>
          <w:i w:val="0"/>
          <w:lang w:val="en-US" w:eastAsia="zh-CN"/>
        </w:rPr>
        <w:t>3.8测试报告</w:t>
      </w:r>
      <w:bookmarkEnd w:id="66"/>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在该小节中，对测试报告的内容以及部分要求做了规定。</w:t>
      </w:r>
    </w:p>
    <w:p>
      <w:pPr>
        <w:pStyle w:val="3"/>
        <w:keepNext/>
        <w:keepLines w:val="0"/>
        <w:pageBreakBefore w:val="0"/>
        <w:widowControl w:val="0"/>
        <w:kinsoku/>
        <w:wordWrap/>
        <w:overflowPunct/>
        <w:topLinePunct w:val="0"/>
        <w:autoSpaceDE/>
        <w:autoSpaceDN/>
        <w:bidi w:val="0"/>
        <w:adjustRightInd/>
        <w:snapToGrid/>
        <w:spacing w:before="0" w:after="0" w:line="360" w:lineRule="auto"/>
        <w:contextualSpacing/>
        <w:textAlignment w:val="auto"/>
        <w:rPr>
          <w:rFonts w:hint="default" w:ascii="黑体" w:hAnsi="黑体" w:eastAsia="黑体"/>
          <w:i w:val="0"/>
          <w:lang w:val="en-US" w:eastAsia="zh-CN"/>
        </w:rPr>
      </w:pPr>
      <w:bookmarkStart w:id="67" w:name="_Toc6491"/>
      <w:r>
        <w:rPr>
          <w:rFonts w:hint="eastAsia" w:ascii="黑体" w:hAnsi="黑体" w:eastAsia="黑体"/>
          <w:i w:val="0"/>
          <w:lang w:val="en-US" w:eastAsia="zh-CN"/>
        </w:rPr>
        <w:t>3.9附录</w:t>
      </w:r>
      <w:bookmarkEnd w:id="67"/>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本文件有2个资料性附录，分别是间歇式染色机耗水性能测试记录表和连续式染色机耗水性能测试记录表。间歇式染色机和连续式染色机在功能、构造等方面有较大的区别，测试过程应记录的数据也有根本的区别。因此，分别制定了记录表，供实际使用时参考。由于每台设备存在一定的差异，每个工艺和流程也有差异，在实际工作中需要根据具体的情况制定测试记录表</w:t>
      </w:r>
    </w:p>
    <w:p>
      <w:pPr>
        <w:pStyle w:val="2"/>
        <w:snapToGrid/>
        <w:spacing w:before="0" w:after="0" w:line="360" w:lineRule="auto"/>
        <w:contextualSpacing/>
        <w:rPr>
          <w:rFonts w:hint="default" w:ascii="黑体" w:hAnsi="黑体" w:eastAsia="黑体"/>
          <w:kern w:val="28"/>
          <w:sz w:val="28"/>
          <w:szCs w:val="28"/>
          <w:lang w:val="en-US" w:eastAsia="zh-CN"/>
        </w:rPr>
      </w:pPr>
      <w:bookmarkStart w:id="68" w:name="_Toc15729"/>
      <w:bookmarkStart w:id="69" w:name="_Toc6413"/>
      <w:bookmarkStart w:id="70" w:name="_Toc5233"/>
      <w:bookmarkStart w:id="71" w:name="_Toc4445"/>
      <w:r>
        <w:rPr>
          <w:rFonts w:hint="eastAsia" w:ascii="黑体" w:hAnsi="黑体" w:eastAsia="黑体"/>
          <w:kern w:val="28"/>
          <w:sz w:val="28"/>
          <w:szCs w:val="28"/>
          <w:lang w:val="en-US" w:eastAsia="zh-CN"/>
        </w:rPr>
        <w:t>4.与国际、国外同类标准技术内容的对比情况</w:t>
      </w:r>
      <w:bookmarkEnd w:id="68"/>
      <w:bookmarkEnd w:id="69"/>
      <w:bookmarkEnd w:id="70"/>
      <w:bookmarkEnd w:id="71"/>
    </w:p>
    <w:p>
      <w:pPr>
        <w:adjustRightInd/>
        <w:snapToGrid/>
        <w:spacing w:after="0" w:line="360" w:lineRule="auto"/>
        <w:ind w:firstLine="480" w:firstLineChars="200"/>
        <w:contextualSpacing/>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1）</w:t>
      </w:r>
      <w:r>
        <w:rPr>
          <w:rFonts w:hint="eastAsia" w:ascii="Times New Roman" w:hAnsi="Times New Roman" w:eastAsia="宋体" w:cs="Times New Roman"/>
          <w:color w:val="000000"/>
          <w:sz w:val="24"/>
          <w:szCs w:val="24"/>
          <w:lang w:eastAsia="zh-CN"/>
        </w:rPr>
        <w:t xml:space="preserve">本项目无国外先进标准和国际标准，标准制定过程中不存在国际数据采标的问题。 </w:t>
      </w:r>
    </w:p>
    <w:p>
      <w:pPr>
        <w:adjustRightInd/>
        <w:snapToGrid/>
        <w:spacing w:after="0" w:line="360" w:lineRule="auto"/>
        <w:ind w:firstLine="480" w:firstLineChars="200"/>
        <w:contextualSpacing/>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 xml:space="preserve">本标准与《GB/T 12452 水平衡测试通则》《GB/T 21534 节约用水 术语》《GB/T 24789 用水单位水计量器具配备和管理通则》等标准保持一致性。 </w:t>
      </w:r>
    </w:p>
    <w:p>
      <w:pPr>
        <w:adjustRightInd/>
        <w:snapToGrid/>
        <w:spacing w:after="0" w:line="360" w:lineRule="auto"/>
        <w:ind w:firstLine="566" w:firstLineChars="236"/>
        <w:contextualSpacing/>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eastAsia="zh-CN"/>
        </w:rPr>
        <w:t xml:space="preserve">本标准项目为首次提出，无相关的国家和行业标准。 </w:t>
      </w:r>
    </w:p>
    <w:p>
      <w:pPr>
        <w:pStyle w:val="2"/>
        <w:snapToGrid/>
        <w:spacing w:before="0" w:after="0" w:line="360" w:lineRule="auto"/>
        <w:contextualSpacing/>
        <w:rPr>
          <w:rFonts w:hint="default" w:ascii="黑体" w:hAnsi="黑体" w:eastAsia="黑体"/>
          <w:kern w:val="28"/>
          <w:sz w:val="28"/>
          <w:szCs w:val="28"/>
          <w:lang w:val="en-US" w:eastAsia="zh-CN"/>
        </w:rPr>
      </w:pPr>
      <w:bookmarkStart w:id="72" w:name="_Toc616"/>
      <w:r>
        <w:rPr>
          <w:rFonts w:hint="eastAsia" w:ascii="黑体" w:hAnsi="黑体" w:eastAsia="黑体"/>
          <w:kern w:val="28"/>
          <w:sz w:val="28"/>
          <w:szCs w:val="28"/>
          <w:lang w:val="en-US" w:eastAsia="zh-CN"/>
        </w:rPr>
        <w:t>5.与国际、国外同类标准技术内容的对比情况</w:t>
      </w:r>
      <w:bookmarkEnd w:id="72"/>
    </w:p>
    <w:p>
      <w:pPr>
        <w:adjustRightInd/>
        <w:snapToGrid/>
        <w:spacing w:after="0" w:line="360" w:lineRule="auto"/>
        <w:ind w:firstLine="566" w:firstLineChars="236"/>
        <w:contextualSpacing/>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eastAsia="zh-CN"/>
        </w:rPr>
        <w:t>本文件制定过程中不存在采标的问题。</w:t>
      </w:r>
    </w:p>
    <w:p>
      <w:pPr>
        <w:pStyle w:val="2"/>
        <w:snapToGrid/>
        <w:spacing w:before="0" w:after="0" w:line="360" w:lineRule="auto"/>
        <w:contextualSpacing/>
        <w:rPr>
          <w:rFonts w:hint="default" w:ascii="黑体" w:hAnsi="黑体" w:eastAsia="黑体"/>
          <w:kern w:val="28"/>
          <w:sz w:val="28"/>
          <w:szCs w:val="28"/>
          <w:lang w:val="en-US" w:eastAsia="zh-CN"/>
        </w:rPr>
      </w:pPr>
      <w:bookmarkStart w:id="73" w:name="_Toc20292"/>
      <w:r>
        <w:rPr>
          <w:rFonts w:hint="eastAsia" w:ascii="黑体" w:hAnsi="黑体" w:eastAsia="黑体"/>
          <w:kern w:val="28"/>
          <w:sz w:val="28"/>
          <w:szCs w:val="28"/>
          <w:lang w:val="en-US" w:eastAsia="zh-CN"/>
        </w:rPr>
        <w:t>6.与国际、国外同类标准技术内容的对比情况</w:t>
      </w:r>
      <w:bookmarkEnd w:id="73"/>
    </w:p>
    <w:p>
      <w:pPr>
        <w:adjustRightInd/>
        <w:snapToGrid/>
        <w:spacing w:after="0" w:line="360" w:lineRule="auto"/>
        <w:ind w:firstLine="480" w:firstLineChars="200"/>
        <w:contextualSpacing/>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eastAsia="zh-CN"/>
        </w:rPr>
        <w:t>本文件符合我国有关法律、法规的要求。</w:t>
      </w:r>
      <w:r>
        <w:rPr>
          <w:rFonts w:hint="eastAsia" w:ascii="Times New Roman" w:hAnsi="Times New Roman" w:eastAsia="宋体" w:cs="Times New Roman"/>
          <w:color w:val="000000"/>
          <w:sz w:val="24"/>
          <w:szCs w:val="24"/>
          <w:lang w:val="en-US" w:eastAsia="zh-CN"/>
        </w:rPr>
        <w:t>由于国际和国内尚未有同类的标准，无法进行同类标准技术内容的对比。</w:t>
      </w: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p>
    <w:p>
      <w:pPr>
        <w:widowControl w:val="0"/>
        <w:numPr>
          <w:ilvl w:val="0"/>
          <w:numId w:val="0"/>
        </w:numPr>
        <w:adjustRightInd/>
        <w:snapToGrid/>
        <w:spacing w:after="0" w:line="440" w:lineRule="exact"/>
        <w:ind w:firstLine="480" w:firstLineChars="200"/>
        <w:jc w:val="both"/>
        <w:rPr>
          <w:rFonts w:hint="eastAsia" w:ascii="宋体" w:hAnsi="宋体" w:eastAsia="宋体"/>
          <w:sz w:val="24"/>
          <w:szCs w:val="24"/>
          <w:lang w:val="en-US" w:eastAsia="zh-CN"/>
        </w:rPr>
      </w:pPr>
    </w:p>
    <w:p>
      <w:pPr>
        <w:rPr>
          <w:rFonts w:hint="eastAsia"/>
          <w:lang w:val="en-US" w:eastAsia="zh-CN"/>
        </w:rPr>
      </w:pPr>
    </w:p>
    <w:p>
      <w:pPr>
        <w:rPr>
          <w:rFonts w:hint="eastAsia"/>
          <w:lang w:val="en-US" w:eastAsia="zh-CN"/>
        </w:rPr>
      </w:pP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p>
    <w:p>
      <w:pPr>
        <w:widowControl w:val="0"/>
        <w:numPr>
          <w:ilvl w:val="0"/>
          <w:numId w:val="0"/>
        </w:numPr>
        <w:adjustRightInd/>
        <w:snapToGrid/>
        <w:spacing w:after="0" w:line="440" w:lineRule="exact"/>
        <w:ind w:firstLine="480" w:firstLineChars="200"/>
        <w:jc w:val="both"/>
        <w:rPr>
          <w:rFonts w:hint="default" w:ascii="宋体" w:hAnsi="宋体" w:eastAsia="宋体"/>
          <w:sz w:val="24"/>
          <w:szCs w:val="24"/>
          <w:lang w:val="en-US" w:eastAsia="zh-CN"/>
        </w:rPr>
      </w:pPr>
    </w:p>
    <w:p>
      <w:pPr>
        <w:snapToGrid/>
        <w:spacing w:after="0" w:line="360" w:lineRule="auto"/>
        <w:ind w:firstLine="424" w:firstLineChars="177"/>
        <w:contextualSpacing/>
        <w:rPr>
          <w:rFonts w:hint="default" w:ascii="宋体" w:hAnsi="宋体" w:eastAsia="宋体"/>
          <w:sz w:val="24"/>
          <w:szCs w:val="24"/>
          <w:lang w:val="en-US" w:eastAsia="zh-CN"/>
        </w:rPr>
      </w:pPr>
    </w:p>
    <w:p>
      <w:pPr>
        <w:snapToGrid/>
        <w:spacing w:after="0" w:line="360" w:lineRule="auto"/>
        <w:ind w:firstLine="424" w:firstLineChars="177"/>
        <w:contextualSpacing/>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left"/>
        <w:textAlignment w:val="auto"/>
        <w:rPr>
          <w:rFonts w:hint="default" w:ascii="黑体" w:hAnsi="黑体" w:eastAsia="黑体" w:cs="黑体"/>
          <w:b w:val="0"/>
          <w:bCs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jM0MzU3ZWQzNDQwMGQ5Y2RkNzI0ZGU4NTc1N2YifQ=="/>
  </w:docVars>
  <w:rsids>
    <w:rsidRoot w:val="2EB20D7F"/>
    <w:rsid w:val="02EE6F9A"/>
    <w:rsid w:val="09D25A44"/>
    <w:rsid w:val="0CB8504F"/>
    <w:rsid w:val="2EB20D7F"/>
    <w:rsid w:val="49CA551D"/>
    <w:rsid w:val="50884DA9"/>
    <w:rsid w:val="564E3FE7"/>
    <w:rsid w:val="68E9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spacing w:before="240" w:after="60"/>
      <w:outlineLvl w:val="1"/>
    </w:pPr>
    <w:rPr>
      <w:rFonts w:ascii="Calibri Light" w:hAnsi="Calibri Light" w:eastAsia="等线 Light"/>
      <w:b/>
      <w:bCs/>
      <w:i/>
      <w:iCs/>
      <w:sz w:val="28"/>
      <w:szCs w:val="28"/>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spacing w:before="240" w:after="60"/>
      <w:outlineLvl w:val="3"/>
    </w:pPr>
    <w:rPr>
      <w:rFonts w:ascii="Calibri" w:hAnsi="Calibri" w:eastAsia="等线"/>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toc 3"/>
    <w:basedOn w:val="1"/>
    <w:next w:val="1"/>
    <w:uiPriority w:val="0"/>
    <w:pPr>
      <w:ind w:left="840" w:leftChars="400"/>
    </w:pPr>
  </w:style>
  <w:style w:type="paragraph" w:styleId="7">
    <w:name w:val="footer"/>
    <w:basedOn w:val="1"/>
    <w:unhideWhenUsed/>
    <w:qFormat/>
    <w:uiPriority w:val="99"/>
    <w:pPr>
      <w:tabs>
        <w:tab w:val="center" w:pos="4153"/>
        <w:tab w:val="right" w:pos="8306"/>
      </w:tabs>
    </w:pPr>
    <w:rPr>
      <w:sz w:val="18"/>
      <w:szCs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2023-11-28T14:14:00Z</dcterms:created>
  <dc:creator>绿水青山</dc:creator>
  <cp:lastModifiedBy>绿水青山</cp:lastModifiedBy>
  <dcterms:modified xsi:type="dcterms:W3CDTF">2023-12-28T01:20:34Z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974809ED45BB4C92AF49A8DD8821DC78_11</vt:lpwstr>
  </property>
</Properties>
</file>